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第二部分　各系统肿瘤的药物临床</w:t>
      </w:r>
    </w:p>
    <w:p>
      <w:pPr>
        <w:spacing w:line="360" w:lineRule="auto"/>
        <w:ind w:firstLine="883" w:firstLineChars="200"/>
        <w:jc w:val="center"/>
        <w:rPr>
          <w:rFonts w:ascii="宋体" w:cs="Times New Roman"/>
          <w:b/>
          <w:bCs/>
          <w:sz w:val="44"/>
          <w:szCs w:val="44"/>
        </w:rPr>
      </w:pPr>
      <w:bookmarkStart w:id="1" w:name="_GoBack"/>
      <w:bookmarkEnd w:id="1"/>
      <w:r>
        <w:rPr>
          <w:rFonts w:hint="eastAsia" w:ascii="宋体" w:hAnsi="宋体" w:cs="宋体"/>
          <w:b/>
          <w:bCs/>
          <w:sz w:val="44"/>
          <w:szCs w:val="44"/>
        </w:rPr>
        <w:t>应用指导原则</w:t>
      </w:r>
    </w:p>
    <w:p>
      <w:pPr>
        <w:spacing w:line="360" w:lineRule="auto"/>
        <w:ind w:firstLine="883" w:firstLineChars="200"/>
        <w:jc w:val="center"/>
        <w:rPr>
          <w:rFonts w:ascii="宋体" w:hAnsi="宋体" w:cs="宋体"/>
          <w:b/>
          <w:bCs/>
          <w:sz w:val="44"/>
          <w:szCs w:val="44"/>
        </w:rPr>
      </w:pPr>
    </w:p>
    <w:p>
      <w:pPr>
        <w:spacing w:line="360" w:lineRule="auto"/>
        <w:ind w:firstLine="883" w:firstLineChars="200"/>
        <w:jc w:val="center"/>
        <w:rPr>
          <w:rFonts w:ascii="宋体" w:cs="Times New Roman"/>
          <w:b/>
          <w:bCs/>
          <w:sz w:val="44"/>
          <w:szCs w:val="44"/>
        </w:rPr>
      </w:pPr>
      <w:r>
        <w:rPr>
          <w:rFonts w:hint="eastAsia" w:ascii="宋体" w:hAnsi="宋体" w:cs="宋体"/>
          <w:b/>
          <w:bCs/>
          <w:sz w:val="44"/>
          <w:szCs w:val="44"/>
        </w:rPr>
        <w:t>呼吸系统肿瘤用药</w:t>
      </w:r>
    </w:p>
    <w:p>
      <w:pPr>
        <w:spacing w:line="360" w:lineRule="auto"/>
        <w:jc w:val="both"/>
        <w:rPr>
          <w:rFonts w:ascii="宋体" w:cs="Times New Roman"/>
          <w:b/>
          <w:bCs/>
          <w:sz w:val="44"/>
          <w:szCs w:val="44"/>
        </w:rPr>
      </w:pPr>
    </w:p>
    <w:p>
      <w:pPr>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一、吉非替尼 G</w:t>
      </w:r>
      <w:r>
        <w:rPr>
          <w:rFonts w:ascii="黑体" w:hAnsi="黑体" w:eastAsia="黑体" w:cs="黑体"/>
          <w:sz w:val="32"/>
          <w:szCs w:val="32"/>
        </w:rPr>
        <w:t>efitinib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250mg</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bCs/>
          <w:sz w:val="32"/>
          <w:szCs w:val="32"/>
        </w:rPr>
        <w:t>表皮生长因子受体（</w:t>
      </w:r>
      <w:r>
        <w:rPr>
          <w:rFonts w:ascii="仿宋" w:hAnsi="仿宋" w:eastAsia="仿宋" w:cs="仿宋"/>
          <w:sz w:val="32"/>
          <w:szCs w:val="32"/>
        </w:rPr>
        <w:t>EGFR</w:t>
      </w:r>
      <w:r>
        <w:rPr>
          <w:rFonts w:hint="eastAsia" w:ascii="仿宋" w:hAnsi="仿宋" w:eastAsia="仿宋" w:cs="仿宋"/>
          <w:sz w:val="32"/>
          <w:szCs w:val="32"/>
        </w:rPr>
        <w:t>）基因具有敏感突变的局部晚期或转移性非小细胞肺癌（</w:t>
      </w:r>
      <w:r>
        <w:rPr>
          <w:rFonts w:ascii="仿宋" w:hAnsi="仿宋" w:eastAsia="仿宋" w:cs="仿宋"/>
          <w:sz w:val="32"/>
          <w:szCs w:val="32"/>
        </w:rPr>
        <w:t>NSCLC</w:t>
      </w:r>
      <w:r>
        <w:rPr>
          <w:rFonts w:hint="eastAsia" w:ascii="仿宋" w:hAnsi="仿宋" w:eastAsia="仿宋" w:cs="仿宋"/>
          <w:sz w:val="32"/>
          <w:szCs w:val="32"/>
        </w:rPr>
        <w:t>）。</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用药前必须明确有经国家药品监督管理局批准的</w:t>
      </w:r>
      <w:r>
        <w:rPr>
          <w:rFonts w:ascii="仿宋" w:hAnsi="仿宋" w:eastAsia="仿宋" w:cs="仿宋"/>
          <w:sz w:val="32"/>
          <w:szCs w:val="32"/>
          <w:highlight w:val="yellow"/>
        </w:rPr>
        <w:t>EGFR</w:t>
      </w:r>
      <w:r>
        <w:rPr>
          <w:rFonts w:hint="eastAsia" w:ascii="仿宋" w:hAnsi="仿宋" w:eastAsia="仿宋" w:cs="仿宋"/>
          <w:sz w:val="32"/>
          <w:szCs w:val="32"/>
          <w:highlight w:val="yellow"/>
        </w:rPr>
        <w:t>基因检测方法检测到的</w:t>
      </w:r>
      <w:r>
        <w:rPr>
          <w:rFonts w:ascii="仿宋" w:hAnsi="仿宋" w:eastAsia="仿宋" w:cs="仿宋"/>
          <w:sz w:val="32"/>
          <w:szCs w:val="32"/>
          <w:highlight w:val="yellow"/>
        </w:rPr>
        <w:t>EGFR</w:t>
      </w:r>
      <w:r>
        <w:rPr>
          <w:rFonts w:hint="eastAsia" w:ascii="仿宋" w:hAnsi="仿宋" w:eastAsia="仿宋" w:cs="仿宋"/>
          <w:sz w:val="32"/>
          <w:szCs w:val="32"/>
          <w:highlight w:val="yellow"/>
        </w:rPr>
        <w:t>敏感突变</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2.肿瘤组织和血液均可用于EGFR基因突变检测，但组织检测优先。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治疗期间因药物毒性不可耐受时，可在同一代药物之间替换，如疾病进展则不能在同一代药物之间替换。</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治疗过程中影像学显示缓慢进展但临床症状未发生恶化的患者，可以继续使用原药物；发生局部进展的患者，可以继续使用原药物加局部治疗；对于快速进展的患者，建议改换为其他治疗方案。（本条标准也适用于其他EGFR酪氨酸激酶抑制剂、ALK酪氨酸激酶抑制剂和ROS1酪氨酸激酶抑制剂）</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用药期间必须注意常见的皮肤黏膜反应和腹泻；应特别注意间质性肺炎、肝脏毒性和眼部症状的发生。</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避免与</w:t>
      </w:r>
      <w:r>
        <w:rPr>
          <w:rFonts w:ascii="仿宋" w:hAnsi="仿宋" w:eastAsia="仿宋" w:cs="仿宋"/>
          <w:sz w:val="32"/>
          <w:szCs w:val="32"/>
        </w:rPr>
        <w:t>CYP3A4</w:t>
      </w:r>
      <w:r>
        <w:rPr>
          <w:rFonts w:hint="eastAsia" w:ascii="仿宋" w:hAnsi="仿宋" w:eastAsia="仿宋" w:cs="仿宋"/>
          <w:sz w:val="32"/>
          <w:szCs w:val="32"/>
        </w:rPr>
        <w:t>强诱导剂或强抑制剂联合使用。服用华法林的患者应定期监测凝血酶原时间或</w:t>
      </w:r>
      <w:r>
        <w:rPr>
          <w:rFonts w:ascii="仿宋" w:hAnsi="仿宋" w:eastAsia="仿宋" w:cs="仿宋"/>
          <w:sz w:val="32"/>
          <w:szCs w:val="32"/>
        </w:rPr>
        <w:t>INR</w:t>
      </w:r>
      <w:r>
        <w:rPr>
          <w:rFonts w:hint="eastAsia" w:ascii="仿宋" w:hAnsi="仿宋" w:eastAsia="仿宋" w:cs="仿宋"/>
          <w:sz w:val="32"/>
          <w:szCs w:val="32"/>
        </w:rPr>
        <w:t>的改变。能显著且持续升高胃液</w:t>
      </w:r>
      <w:r>
        <w:rPr>
          <w:rFonts w:ascii="仿宋" w:hAnsi="仿宋" w:eastAsia="仿宋" w:cs="仿宋"/>
          <w:sz w:val="32"/>
          <w:szCs w:val="32"/>
        </w:rPr>
        <w:t>pH</w:t>
      </w:r>
      <w:r>
        <w:rPr>
          <w:rFonts w:hint="eastAsia" w:ascii="仿宋" w:hAnsi="仿宋" w:eastAsia="仿宋" w:cs="仿宋"/>
          <w:sz w:val="32"/>
          <w:szCs w:val="32"/>
        </w:rPr>
        <w:t>值的药物有可能会降低吉非替尼的血药浓度，从而降低吉非替尼疗效。</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7.</w:t>
      </w:r>
      <w:r>
        <w:rPr>
          <w:rFonts w:hint="eastAsia" w:ascii="仿宋" w:hAnsi="仿宋" w:eastAsia="仿宋" w:cs="仿宋"/>
          <w:sz w:val="32"/>
          <w:szCs w:val="32"/>
        </w:rPr>
        <w:t>在某些肿瘤急症的情况下如脑转移昏迷或呼吸衰竭，在充分知情的情况下，对不吸烟的肺腺癌患者可考虑使用。一旦病情缓解，必须补充进行</w:t>
      </w:r>
      <w:r>
        <w:rPr>
          <w:rFonts w:ascii="仿宋" w:hAnsi="仿宋" w:eastAsia="仿宋" w:cs="仿宋"/>
          <w:sz w:val="32"/>
          <w:szCs w:val="32"/>
        </w:rPr>
        <w:t>EGFR</w:t>
      </w:r>
      <w:r>
        <w:rPr>
          <w:rFonts w:hint="eastAsia" w:ascii="仿宋" w:hAnsi="仿宋" w:eastAsia="仿宋" w:cs="仿宋"/>
          <w:sz w:val="32"/>
          <w:szCs w:val="32"/>
        </w:rPr>
        <w:t>突变的组织或血液检测。（本条标准也适用于其他EGFR酪氨酸激酶抑制剂）</w:t>
      </w:r>
    </w:p>
    <w:p>
      <w:pPr>
        <w:spacing w:line="360" w:lineRule="auto"/>
        <w:ind w:firstLine="640" w:firstLineChars="200"/>
        <w:rPr>
          <w:rFonts w:ascii="黑体" w:hAnsi="黑体" w:eastAsia="黑体" w:cs="Times New Roman"/>
          <w:color w:val="000000"/>
          <w:sz w:val="32"/>
          <w:szCs w:val="32"/>
        </w:rPr>
      </w:pPr>
      <w:r>
        <w:rPr>
          <w:rFonts w:hint="eastAsia" w:ascii="黑体" w:hAnsi="黑体" w:eastAsia="黑体" w:cs="黑体"/>
          <w:sz w:val="32"/>
          <w:szCs w:val="32"/>
        </w:rPr>
        <w:t>二、厄洛替尼 E</w:t>
      </w:r>
      <w:r>
        <w:rPr>
          <w:rFonts w:ascii="黑体" w:hAnsi="黑体" w:eastAsia="黑体" w:cs="黑体"/>
          <w:sz w:val="32"/>
          <w:szCs w:val="32"/>
        </w:rPr>
        <w:t>rlotinib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150mg</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ascii="仿宋" w:hAnsi="仿宋" w:eastAsia="仿宋" w:cs="仿宋"/>
          <w:sz w:val="32"/>
          <w:szCs w:val="32"/>
        </w:rPr>
        <w:t>EGFR</w:t>
      </w:r>
      <w:r>
        <w:rPr>
          <w:rFonts w:hint="eastAsia" w:ascii="仿宋" w:hAnsi="仿宋" w:eastAsia="仿宋" w:cs="仿宋"/>
          <w:sz w:val="32"/>
          <w:szCs w:val="32"/>
        </w:rPr>
        <w:t>基因具有敏感突变的局部晚期或转移性</w:t>
      </w:r>
      <w:r>
        <w:rPr>
          <w:rFonts w:ascii="仿宋" w:hAnsi="仿宋" w:eastAsia="仿宋" w:cs="仿宋"/>
          <w:sz w:val="32"/>
          <w:szCs w:val="32"/>
        </w:rPr>
        <w:t>NSCLC</w:t>
      </w:r>
      <w:r>
        <w:rPr>
          <w:rFonts w:hint="eastAsia" w:ascii="仿宋" w:hAnsi="仿宋" w:eastAsia="仿宋" w:cs="仿宋"/>
          <w:sz w:val="32"/>
          <w:szCs w:val="32"/>
        </w:rPr>
        <w:t>。</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用药前必须明确有经国家药品监督管理局批准的EGFR基因检测方法检测到的EGFR敏感突变</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2.肿瘤组织和血液均可用于EGFR基因突变检测，但组织检测优先。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有脑转移的</w:t>
      </w:r>
      <w:r>
        <w:rPr>
          <w:rFonts w:ascii="仿宋" w:hAnsi="仿宋" w:eastAsia="仿宋" w:cs="仿宋"/>
          <w:sz w:val="32"/>
          <w:szCs w:val="32"/>
        </w:rPr>
        <w:t>EGFR</w:t>
      </w:r>
      <w:r>
        <w:rPr>
          <w:rFonts w:hint="eastAsia" w:ascii="仿宋" w:hAnsi="仿宋" w:eastAsia="仿宋" w:cs="仿宋"/>
          <w:sz w:val="32"/>
          <w:szCs w:val="32"/>
        </w:rPr>
        <w:t>基因突变的</w:t>
      </w:r>
      <w:r>
        <w:rPr>
          <w:rFonts w:ascii="仿宋" w:hAnsi="仿宋" w:eastAsia="仿宋" w:cs="仿宋"/>
          <w:sz w:val="32"/>
          <w:szCs w:val="32"/>
        </w:rPr>
        <w:t>NSCLC</w:t>
      </w:r>
      <w:r>
        <w:rPr>
          <w:rFonts w:hint="eastAsia" w:ascii="仿宋" w:hAnsi="仿宋" w:eastAsia="仿宋" w:cs="仿宋"/>
          <w:sz w:val="32"/>
          <w:szCs w:val="32"/>
        </w:rPr>
        <w:t>患者可考虑使用厄洛替尼。</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用药期间必须注意常见的皮肤黏膜反应和腹泻。应特别注意间质性肺炎、肝功能异常和眼部症状的发生。</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5.避免与CYP3A4</w:t>
      </w:r>
      <w:r>
        <w:rPr>
          <w:rFonts w:hint="eastAsia" w:ascii="仿宋" w:hAnsi="仿宋" w:eastAsia="仿宋" w:cs="仿宋"/>
          <w:sz w:val="32"/>
          <w:szCs w:val="32"/>
        </w:rPr>
        <w:t>强抑制剂或强诱导剂联合使用</w:t>
      </w:r>
      <w:r>
        <w:rPr>
          <w:rFonts w:hint="eastAsia" w:ascii="仿宋" w:hAnsi="仿宋" w:eastAsia="仿宋" w:cs="仿宋"/>
          <w:w w:val="99"/>
          <w:sz w:val="32"/>
          <w:szCs w:val="32"/>
        </w:rPr>
        <w:t>。避免厄洛替尼与能显著且持续升高胃液pH值的药物合用。</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6</w:t>
      </w:r>
      <w:r>
        <w:rPr>
          <w:rFonts w:ascii="仿宋" w:hAnsi="仿宋" w:eastAsia="仿宋" w:cs="仿宋"/>
          <w:w w:val="99"/>
          <w:sz w:val="32"/>
          <w:szCs w:val="32"/>
        </w:rPr>
        <w:t>.</w:t>
      </w:r>
      <w:r>
        <w:rPr>
          <w:rFonts w:hint="eastAsia" w:ascii="仿宋" w:hAnsi="仿宋" w:eastAsia="仿宋" w:cs="仿宋"/>
          <w:sz w:val="32"/>
          <w:szCs w:val="32"/>
        </w:rPr>
        <w:t>吸烟会导致厄洛替尼的暴露量降低，建议患者戒烟。</w:t>
      </w:r>
    </w:p>
    <w:p>
      <w:pPr>
        <w:spacing w:line="360" w:lineRule="auto"/>
        <w:ind w:firstLine="643" w:firstLineChars="200"/>
        <w:rPr>
          <w:rFonts w:ascii="仿宋" w:hAnsi="仿宋" w:eastAsia="仿宋" w:cs="Times New Roman"/>
          <w:w w:val="97"/>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7.</w:t>
      </w:r>
      <w:r>
        <w:rPr>
          <w:rFonts w:hint="eastAsia" w:ascii="仿宋" w:hAnsi="仿宋" w:eastAsia="仿宋" w:cs="Times New Roman"/>
          <w:w w:val="97"/>
          <w:sz w:val="32"/>
          <w:szCs w:val="32"/>
        </w:rPr>
        <w:t>在美国，厄洛替尼获批与吉西他滨联合用于局部晚期、无法切除或转移性胰腺癌的一线治疗，目前国内尚未获批此适应证，可在与患者充分沟通的情况下使用。用法为l00mg，每人一次。</w:t>
      </w:r>
    </w:p>
    <w:p>
      <w:pPr>
        <w:spacing w:line="360" w:lineRule="auto"/>
        <w:ind w:firstLine="640" w:firstLineChars="200"/>
        <w:rPr>
          <w:rFonts w:ascii="仿宋" w:hAnsi="仿宋" w:eastAsia="仿宋" w:cs="Times New Roman"/>
          <w:sz w:val="32"/>
          <w:szCs w:val="32"/>
        </w:rPr>
      </w:pPr>
      <w:r>
        <w:rPr>
          <w:rFonts w:hint="eastAsia" w:ascii="黑体" w:hAnsi="黑体" w:eastAsia="黑体" w:cs="黑体"/>
          <w:sz w:val="32"/>
          <w:szCs w:val="32"/>
        </w:rPr>
        <w:t>三、埃克替尼I</w:t>
      </w:r>
      <w:r>
        <w:rPr>
          <w:rFonts w:ascii="黑体" w:hAnsi="黑体" w:eastAsia="黑体" w:cs="黑体"/>
          <w:sz w:val="32"/>
          <w:szCs w:val="32"/>
        </w:rPr>
        <w:t>cotinib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125mg</w:t>
      </w:r>
    </w:p>
    <w:p>
      <w:pPr>
        <w:autoSpaceDE w:val="0"/>
        <w:autoSpaceDN w:val="0"/>
        <w:adjustRightInd w:val="0"/>
        <w:spacing w:line="360" w:lineRule="auto"/>
        <w:ind w:firstLine="643" w:firstLineChars="200"/>
        <w:jc w:val="left"/>
        <w:rPr>
          <w:rFonts w:ascii="仿宋" w:hAnsi="仿宋" w:eastAsia="仿宋" w:cs="Times New Roman"/>
          <w:sz w:val="32"/>
          <w:szCs w:val="32"/>
        </w:rPr>
      </w:pPr>
      <w:r>
        <w:rPr>
          <w:rFonts w:hint="eastAsia" w:ascii="仿宋" w:hAnsi="仿宋" w:eastAsia="仿宋" w:cs="仿宋"/>
          <w:b/>
          <w:bCs/>
          <w:sz w:val="32"/>
          <w:szCs w:val="32"/>
        </w:rPr>
        <w:t>适应证：</w:t>
      </w:r>
      <w:r>
        <w:rPr>
          <w:rFonts w:ascii="仿宋" w:hAnsi="仿宋" w:eastAsia="仿宋" w:cs="仿宋"/>
          <w:sz w:val="32"/>
          <w:szCs w:val="32"/>
        </w:rPr>
        <w:t>EGFR</w:t>
      </w:r>
      <w:r>
        <w:rPr>
          <w:rFonts w:hint="eastAsia" w:ascii="仿宋" w:hAnsi="仿宋" w:eastAsia="仿宋" w:cs="仿宋"/>
          <w:sz w:val="32"/>
          <w:szCs w:val="32"/>
        </w:rPr>
        <w:t>基因具有敏感突变的局部晚期或转移性</w:t>
      </w:r>
      <w:r>
        <w:rPr>
          <w:rFonts w:ascii="仿宋" w:hAnsi="仿宋" w:eastAsia="仿宋" w:cs="仿宋"/>
          <w:sz w:val="32"/>
          <w:szCs w:val="32"/>
        </w:rPr>
        <w:t>NSCLC</w:t>
      </w:r>
      <w:r>
        <w:rPr>
          <w:rFonts w:hint="eastAsia" w:ascii="仿宋" w:hAnsi="仿宋" w:eastAsia="仿宋" w:cs="仿宋"/>
          <w:sz w:val="32"/>
          <w:szCs w:val="32"/>
        </w:rPr>
        <w:t>。</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用药前必须明确有经国家药品监督管理局批准的</w:t>
      </w:r>
      <w:r>
        <w:rPr>
          <w:rFonts w:ascii="仿宋" w:hAnsi="仿宋" w:eastAsia="仿宋" w:cs="仿宋"/>
          <w:sz w:val="32"/>
          <w:szCs w:val="32"/>
          <w:highlight w:val="yellow"/>
        </w:rPr>
        <w:t>EGFR</w:t>
      </w:r>
      <w:r>
        <w:rPr>
          <w:rFonts w:hint="eastAsia" w:ascii="仿宋" w:hAnsi="仿宋" w:eastAsia="仿宋" w:cs="仿宋"/>
          <w:sz w:val="32"/>
          <w:szCs w:val="32"/>
          <w:highlight w:val="yellow"/>
        </w:rPr>
        <w:t>基因检测方法检测到的</w:t>
      </w:r>
      <w:r>
        <w:rPr>
          <w:rFonts w:ascii="仿宋" w:hAnsi="仿宋" w:eastAsia="仿宋" w:cs="仿宋"/>
          <w:sz w:val="32"/>
          <w:szCs w:val="32"/>
          <w:highlight w:val="yellow"/>
        </w:rPr>
        <w:t>EGFR</w:t>
      </w:r>
      <w:r>
        <w:rPr>
          <w:rFonts w:hint="eastAsia" w:ascii="仿宋" w:hAnsi="仿宋" w:eastAsia="仿宋" w:cs="仿宋"/>
          <w:sz w:val="32"/>
          <w:szCs w:val="32"/>
          <w:highlight w:val="yellow"/>
        </w:rPr>
        <w:t>敏感突变</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2.肿瘤组织和血液均可用于EGFR基因突变检测，但组织检测优先。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有脑转移的</w:t>
      </w:r>
      <w:r>
        <w:rPr>
          <w:rFonts w:ascii="仿宋" w:hAnsi="仿宋" w:eastAsia="仿宋" w:cs="仿宋"/>
          <w:sz w:val="32"/>
          <w:szCs w:val="32"/>
        </w:rPr>
        <w:t>EGFR</w:t>
      </w:r>
      <w:r>
        <w:rPr>
          <w:rFonts w:hint="eastAsia" w:ascii="仿宋" w:hAnsi="仿宋" w:eastAsia="仿宋" w:cs="仿宋"/>
          <w:sz w:val="32"/>
          <w:szCs w:val="32"/>
        </w:rPr>
        <w:t>基因突变的</w:t>
      </w:r>
      <w:r>
        <w:rPr>
          <w:rFonts w:ascii="仿宋" w:hAnsi="仿宋" w:eastAsia="仿宋" w:cs="仿宋"/>
          <w:sz w:val="32"/>
          <w:szCs w:val="32"/>
        </w:rPr>
        <w:t>NSCLC</w:t>
      </w:r>
      <w:r>
        <w:rPr>
          <w:rFonts w:hint="eastAsia" w:ascii="仿宋" w:hAnsi="仿宋" w:eastAsia="仿宋" w:cs="仿宋"/>
          <w:sz w:val="32"/>
          <w:szCs w:val="32"/>
        </w:rPr>
        <w:t>患者，可优先选择埃克替尼。</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不良反应主要为常见的</w:t>
      </w:r>
      <w:r>
        <w:rPr>
          <w:rFonts w:ascii="仿宋" w:hAnsi="仿宋" w:eastAsia="仿宋" w:cs="仿宋"/>
          <w:sz w:val="32"/>
          <w:szCs w:val="32"/>
        </w:rPr>
        <w:t>I</w:t>
      </w:r>
      <w:r>
        <w:rPr>
          <w:rFonts w:hint="eastAsia" w:ascii="仿宋" w:hAnsi="仿宋" w:eastAsia="仿宋" w:cs="仿宋"/>
          <w:sz w:val="32"/>
          <w:szCs w:val="32"/>
        </w:rPr>
        <w:t>、Ⅱ度皮疹和腹泻，应特别关注间质性肺炎的发生。</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埃克替尼主要通过CYP450系统的</w:t>
      </w:r>
      <w:r>
        <w:rPr>
          <w:rFonts w:ascii="仿宋" w:hAnsi="仿宋" w:eastAsia="仿宋" w:cs="仿宋"/>
          <w:sz w:val="32"/>
          <w:szCs w:val="32"/>
        </w:rPr>
        <w:t>CYP2C19</w:t>
      </w:r>
      <w:r>
        <w:rPr>
          <w:rFonts w:hint="eastAsia" w:ascii="仿宋" w:hAnsi="仿宋" w:eastAsia="仿宋" w:cs="仿宋"/>
          <w:sz w:val="32"/>
          <w:szCs w:val="32"/>
        </w:rPr>
        <w:t>和</w:t>
      </w:r>
      <w:r>
        <w:rPr>
          <w:rFonts w:ascii="仿宋" w:hAnsi="仿宋" w:eastAsia="仿宋" w:cs="仿宋"/>
          <w:sz w:val="32"/>
          <w:szCs w:val="32"/>
        </w:rPr>
        <w:t>CYP3A4</w:t>
      </w:r>
      <w:r>
        <w:rPr>
          <w:rFonts w:hint="eastAsia" w:ascii="仿宋" w:hAnsi="仿宋" w:eastAsia="仿宋" w:cs="仿宋"/>
          <w:sz w:val="32"/>
          <w:szCs w:val="32"/>
        </w:rPr>
        <w:t>代谢，对</w:t>
      </w:r>
      <w:r>
        <w:rPr>
          <w:rFonts w:ascii="仿宋" w:hAnsi="仿宋" w:eastAsia="仿宋" w:cs="仿宋"/>
          <w:sz w:val="32"/>
          <w:szCs w:val="32"/>
        </w:rPr>
        <w:t>CYP2C9</w:t>
      </w:r>
      <w:r>
        <w:rPr>
          <w:rFonts w:hint="eastAsia" w:ascii="仿宋" w:hAnsi="仿宋" w:eastAsia="仿宋" w:cs="仿宋"/>
          <w:sz w:val="32"/>
          <w:szCs w:val="32"/>
        </w:rPr>
        <w:t>和</w:t>
      </w:r>
      <w:r>
        <w:rPr>
          <w:rFonts w:ascii="仿宋" w:hAnsi="仿宋" w:eastAsia="仿宋" w:cs="仿宋"/>
          <w:sz w:val="32"/>
          <w:szCs w:val="32"/>
        </w:rPr>
        <w:t>CYP3A4</w:t>
      </w:r>
      <w:r>
        <w:rPr>
          <w:rFonts w:hint="eastAsia" w:ascii="仿宋" w:hAnsi="仿宋" w:eastAsia="仿宋" w:cs="仿宋"/>
          <w:sz w:val="32"/>
          <w:szCs w:val="32"/>
        </w:rPr>
        <w:t>有明显的抑制作用，与该代谢酶诱导剂和底物药物合用时应注意潜在的药物相互作用。</w:t>
      </w:r>
    </w:p>
    <w:p>
      <w:pPr>
        <w:spacing w:line="360" w:lineRule="auto"/>
        <w:ind w:firstLine="640" w:firstLineChars="200"/>
        <w:rPr>
          <w:rFonts w:hint="eastAsia" w:ascii="黑体" w:hAnsi="黑体" w:eastAsia="黑体" w:cs="黑体"/>
          <w:sz w:val="32"/>
          <w:szCs w:val="32"/>
        </w:rPr>
      </w:pPr>
    </w:p>
    <w:p>
      <w:pPr>
        <w:spacing w:line="360" w:lineRule="auto"/>
        <w:ind w:firstLine="640" w:firstLineChars="200"/>
        <w:rPr>
          <w:rFonts w:ascii="仿宋" w:hAnsi="仿宋" w:eastAsia="仿宋" w:cs="Times New Roman"/>
          <w:b/>
          <w:bCs/>
          <w:sz w:val="32"/>
          <w:szCs w:val="32"/>
        </w:rPr>
      </w:pPr>
      <w:r>
        <w:rPr>
          <w:rFonts w:hint="eastAsia" w:ascii="黑体" w:hAnsi="黑体" w:eastAsia="黑体" w:cs="黑体"/>
          <w:sz w:val="32"/>
          <w:szCs w:val="32"/>
        </w:rPr>
        <w:t>四、阿法替尼A</w:t>
      </w:r>
      <w:r>
        <w:rPr>
          <w:rFonts w:ascii="黑体" w:hAnsi="黑体" w:eastAsia="黑体" w:cs="黑体"/>
          <w:sz w:val="32"/>
          <w:szCs w:val="32"/>
        </w:rPr>
        <w:t>fatinib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30mg</w:t>
      </w:r>
      <w:r>
        <w:rPr>
          <w:rFonts w:hint="eastAsia" w:ascii="仿宋" w:hAnsi="仿宋" w:eastAsia="仿宋" w:cs="仿宋"/>
          <w:sz w:val="32"/>
          <w:szCs w:val="32"/>
        </w:rPr>
        <w:t>、</w:t>
      </w:r>
      <w:r>
        <w:rPr>
          <w:rFonts w:ascii="仿宋" w:hAnsi="仿宋" w:eastAsia="仿宋" w:cs="仿宋"/>
          <w:sz w:val="32"/>
          <w:szCs w:val="32"/>
        </w:rPr>
        <w:t>40mg</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tabs>
          <w:tab w:val="left" w:pos="7920"/>
        </w:tabs>
        <w:snapToGrid w:val="0"/>
        <w:spacing w:line="360" w:lineRule="auto"/>
        <w:ind w:firstLine="640" w:firstLineChars="200"/>
        <w:rPr>
          <w:rFonts w:ascii="仿宋" w:hAnsi="仿宋" w:eastAsia="仿宋" w:cs="Times New Roman"/>
          <w:kern w:val="0"/>
          <w:sz w:val="32"/>
          <w:szCs w:val="32"/>
          <w:lang w:val="en-GB"/>
        </w:rPr>
      </w:pPr>
      <w:r>
        <w:rPr>
          <w:rFonts w:ascii="仿宋" w:hAnsi="仿宋" w:eastAsia="仿宋" w:cs="仿宋"/>
          <w:kern w:val="0"/>
          <w:sz w:val="32"/>
          <w:szCs w:val="32"/>
          <w:lang w:val="en-GB"/>
        </w:rPr>
        <w:t>1.</w:t>
      </w:r>
      <w:r>
        <w:rPr>
          <w:rFonts w:hint="eastAsia" w:ascii="仿宋" w:hAnsi="仿宋" w:eastAsia="仿宋" w:cs="仿宋"/>
          <w:kern w:val="0"/>
          <w:sz w:val="32"/>
          <w:szCs w:val="32"/>
          <w:lang w:val="en-GB"/>
        </w:rPr>
        <w:t>具有</w:t>
      </w:r>
      <w:r>
        <w:rPr>
          <w:rFonts w:ascii="仿宋" w:hAnsi="仿宋" w:eastAsia="仿宋" w:cs="仿宋"/>
          <w:kern w:val="0"/>
          <w:sz w:val="32"/>
          <w:szCs w:val="32"/>
          <w:lang w:val="en-GB"/>
        </w:rPr>
        <w:t>EGFR</w:t>
      </w:r>
      <w:r>
        <w:rPr>
          <w:rFonts w:hint="eastAsia" w:ascii="仿宋" w:hAnsi="仿宋" w:eastAsia="仿宋" w:cs="仿宋"/>
          <w:kern w:val="0"/>
          <w:sz w:val="32"/>
          <w:szCs w:val="32"/>
          <w:lang w:val="en-GB"/>
        </w:rPr>
        <w:t>基因敏感突变的局部晚期或转移性</w:t>
      </w:r>
      <w:r>
        <w:rPr>
          <w:rFonts w:ascii="仿宋" w:hAnsi="仿宋" w:eastAsia="仿宋" w:cs="仿宋"/>
          <w:kern w:val="0"/>
          <w:sz w:val="32"/>
          <w:szCs w:val="32"/>
          <w:lang w:val="en-GB"/>
        </w:rPr>
        <w:t>NSCLC</w:t>
      </w:r>
      <w:r>
        <w:rPr>
          <w:rFonts w:hint="eastAsia" w:ascii="仿宋" w:hAnsi="仿宋" w:eastAsia="仿宋" w:cs="仿宋"/>
          <w:kern w:val="0"/>
          <w:sz w:val="32"/>
          <w:szCs w:val="32"/>
          <w:lang w:val="en-GB"/>
        </w:rPr>
        <w:t>，既往未接受过EGFR酪氨酸激酶抑制剂（</w:t>
      </w:r>
      <w:r>
        <w:rPr>
          <w:rFonts w:ascii="仿宋" w:hAnsi="仿宋" w:eastAsia="仿宋" w:cs="仿宋"/>
          <w:kern w:val="0"/>
          <w:sz w:val="32"/>
          <w:szCs w:val="32"/>
          <w:lang w:val="en-GB"/>
        </w:rPr>
        <w:t>EGFR-TKI</w:t>
      </w:r>
      <w:r>
        <w:rPr>
          <w:rFonts w:hint="eastAsia" w:ascii="仿宋" w:hAnsi="仿宋" w:eastAsia="仿宋" w:cs="仿宋"/>
          <w:kern w:val="0"/>
          <w:sz w:val="32"/>
          <w:szCs w:val="32"/>
          <w:lang w:val="en-GB"/>
        </w:rPr>
        <w:t>）治疗。</w:t>
      </w:r>
    </w:p>
    <w:p>
      <w:pPr>
        <w:tabs>
          <w:tab w:val="left" w:pos="7920"/>
        </w:tabs>
        <w:snapToGrid w:val="0"/>
        <w:spacing w:line="360" w:lineRule="auto"/>
        <w:ind w:firstLine="640" w:firstLineChars="200"/>
        <w:rPr>
          <w:rFonts w:ascii="仿宋" w:hAnsi="仿宋" w:eastAsia="仿宋" w:cs="Times New Roman"/>
          <w:kern w:val="0"/>
          <w:sz w:val="32"/>
          <w:szCs w:val="32"/>
          <w:lang w:val="en-GB"/>
        </w:rPr>
      </w:pPr>
      <w:r>
        <w:rPr>
          <w:rFonts w:ascii="仿宋" w:hAnsi="仿宋" w:eastAsia="仿宋" w:cs="仿宋"/>
          <w:kern w:val="0"/>
          <w:sz w:val="32"/>
          <w:szCs w:val="32"/>
          <w:lang w:val="en-GB"/>
        </w:rPr>
        <w:t>2.</w:t>
      </w:r>
      <w:r>
        <w:rPr>
          <w:rFonts w:hint="eastAsia" w:ascii="仿宋" w:hAnsi="仿宋" w:eastAsia="仿宋" w:cs="仿宋"/>
          <w:kern w:val="0"/>
          <w:sz w:val="32"/>
          <w:szCs w:val="32"/>
          <w:lang w:val="en-GB"/>
        </w:rPr>
        <w:t>含铂化疗期间或化疗后疾病进展的局部晚期或转移性鳞状组织学类型的NSCLC。</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一线治疗</w:t>
      </w:r>
      <w:r>
        <w:rPr>
          <w:rFonts w:ascii="仿宋" w:hAnsi="仿宋" w:eastAsia="仿宋" w:cs="仿宋"/>
          <w:sz w:val="32"/>
          <w:szCs w:val="32"/>
        </w:rPr>
        <w:t>EGFR</w:t>
      </w:r>
      <w:r>
        <w:rPr>
          <w:rFonts w:hint="eastAsia" w:ascii="仿宋" w:hAnsi="仿宋" w:eastAsia="仿宋" w:cs="仿宋"/>
          <w:sz w:val="32"/>
          <w:szCs w:val="32"/>
        </w:rPr>
        <w:t>基因敏感突变的晚期</w:t>
      </w:r>
      <w:r>
        <w:rPr>
          <w:rFonts w:ascii="仿宋" w:hAnsi="仿宋" w:eastAsia="仿宋" w:cs="仿宋"/>
          <w:sz w:val="32"/>
          <w:szCs w:val="32"/>
        </w:rPr>
        <w:t>NSCLC</w:t>
      </w:r>
      <w:r>
        <w:rPr>
          <w:rFonts w:hint="eastAsia" w:ascii="仿宋" w:hAnsi="仿宋" w:eastAsia="仿宋" w:cs="仿宋"/>
          <w:sz w:val="32"/>
          <w:szCs w:val="32"/>
        </w:rPr>
        <w:t>患者，用药前必须明确有经国家药品监督管理局批准的</w:t>
      </w:r>
      <w:r>
        <w:rPr>
          <w:rFonts w:ascii="仿宋" w:hAnsi="仿宋" w:eastAsia="仿宋" w:cs="仿宋"/>
          <w:sz w:val="32"/>
          <w:szCs w:val="32"/>
        </w:rPr>
        <w:t>EGFR</w:t>
      </w:r>
      <w:r>
        <w:rPr>
          <w:rFonts w:hint="eastAsia" w:ascii="仿宋" w:hAnsi="仿宋" w:eastAsia="仿宋" w:cs="仿宋"/>
          <w:sz w:val="32"/>
          <w:szCs w:val="32"/>
        </w:rPr>
        <w:t>基因检测方法检测到的</w:t>
      </w:r>
      <w:r>
        <w:rPr>
          <w:rFonts w:ascii="仿宋" w:hAnsi="仿宋" w:eastAsia="仿宋" w:cs="仿宋"/>
          <w:sz w:val="32"/>
          <w:szCs w:val="32"/>
        </w:rPr>
        <w:t>EGFR</w:t>
      </w:r>
      <w:r>
        <w:rPr>
          <w:rFonts w:hint="eastAsia" w:ascii="仿宋" w:hAnsi="仿宋" w:eastAsia="仿宋" w:cs="仿宋"/>
          <w:sz w:val="32"/>
          <w:szCs w:val="32"/>
        </w:rPr>
        <w:t>基因敏感突变。肿瘤组织和血液均可用于</w:t>
      </w:r>
      <w:r>
        <w:rPr>
          <w:rFonts w:ascii="仿宋" w:hAnsi="仿宋" w:eastAsia="仿宋" w:cs="仿宋"/>
          <w:sz w:val="32"/>
          <w:szCs w:val="32"/>
        </w:rPr>
        <w:t>EGFR</w:t>
      </w:r>
      <w:r>
        <w:rPr>
          <w:rFonts w:hint="eastAsia" w:ascii="仿宋" w:hAnsi="仿宋" w:eastAsia="仿宋" w:cs="仿宋"/>
          <w:sz w:val="32"/>
          <w:szCs w:val="32"/>
        </w:rPr>
        <w:t>基因突变检测，但组织检测优先。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虽然药品说明书显示阿法替尼不需进行基因检测可用于二线治疗含铂化疗期间或化疗后进展的晚期肺鳞状细胞癌患者，但仍然不推荐用于</w:t>
      </w:r>
      <w:r>
        <w:rPr>
          <w:rFonts w:ascii="仿宋" w:hAnsi="仿宋" w:eastAsia="仿宋" w:cs="仿宋"/>
          <w:sz w:val="32"/>
          <w:szCs w:val="32"/>
        </w:rPr>
        <w:t>EGFR</w:t>
      </w:r>
      <w:r>
        <w:rPr>
          <w:rFonts w:hint="eastAsia" w:ascii="仿宋" w:hAnsi="仿宋" w:eastAsia="仿宋" w:cs="仿宋"/>
          <w:sz w:val="32"/>
          <w:szCs w:val="32"/>
        </w:rPr>
        <w:t>基因突变阴性的患者。</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对于非常见</w:t>
      </w:r>
      <w:r>
        <w:rPr>
          <w:rFonts w:ascii="仿宋" w:hAnsi="仿宋" w:eastAsia="仿宋" w:cs="仿宋"/>
          <w:sz w:val="32"/>
          <w:szCs w:val="32"/>
        </w:rPr>
        <w:t>EGFR</w:t>
      </w:r>
      <w:r>
        <w:rPr>
          <w:rFonts w:hint="eastAsia" w:ascii="仿宋" w:hAnsi="仿宋" w:eastAsia="仿宋" w:cs="仿宋"/>
          <w:sz w:val="32"/>
          <w:szCs w:val="32"/>
        </w:rPr>
        <w:t>基因突变患者，优先使用阿法替尼。</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推荐剂量为</w:t>
      </w:r>
      <w:r>
        <w:rPr>
          <w:rFonts w:ascii="仿宋" w:hAnsi="仿宋" w:eastAsia="仿宋" w:cs="仿宋"/>
          <w:sz w:val="32"/>
          <w:szCs w:val="32"/>
        </w:rPr>
        <w:t>40mg</w:t>
      </w:r>
      <w:r>
        <w:rPr>
          <w:rFonts w:hint="eastAsia" w:ascii="仿宋" w:hAnsi="仿宋" w:eastAsia="仿宋" w:cs="仿宋"/>
          <w:sz w:val="32"/>
          <w:szCs w:val="32"/>
        </w:rPr>
        <w:t>，每日一次，可根据患者耐受性进行剂量调整，剂量调整方案见表</w:t>
      </w:r>
      <w:r>
        <w:rPr>
          <w:rFonts w:ascii="仿宋" w:hAnsi="仿宋" w:eastAsia="仿宋" w:cs="仿宋"/>
          <w:sz w:val="32"/>
          <w:szCs w:val="32"/>
        </w:rPr>
        <w:t>2</w:t>
      </w:r>
      <w:r>
        <w:rPr>
          <w:rFonts w:hint="eastAsia" w:ascii="仿宋" w:hAnsi="仿宋" w:eastAsia="仿宋" w:cs="仿宋"/>
          <w:sz w:val="32"/>
          <w:szCs w:val="32"/>
        </w:rPr>
        <w:t>。</w:t>
      </w:r>
    </w:p>
    <w:p>
      <w:pPr>
        <w:spacing w:line="360" w:lineRule="auto"/>
        <w:ind w:firstLine="422" w:firstLineChars="200"/>
        <w:jc w:val="center"/>
        <w:rPr>
          <w:rFonts w:ascii="仿宋" w:hAnsi="仿宋" w:eastAsia="仿宋" w:cs="Times New Roman"/>
          <w:b/>
        </w:rPr>
      </w:pPr>
      <w:r>
        <w:rPr>
          <w:rFonts w:hint="eastAsia" w:ascii="仿宋" w:hAnsi="仿宋" w:eastAsia="仿宋" w:cs="仿宋"/>
          <w:b/>
        </w:rPr>
        <w:t>表</w:t>
      </w:r>
      <w:r>
        <w:rPr>
          <w:rFonts w:ascii="仿宋" w:hAnsi="仿宋" w:eastAsia="仿宋" w:cs="仿宋"/>
          <w:b/>
        </w:rPr>
        <w:t xml:space="preserve">2  </w:t>
      </w:r>
      <w:r>
        <w:rPr>
          <w:rFonts w:hint="eastAsia" w:ascii="仿宋" w:hAnsi="仿宋" w:eastAsia="仿宋" w:cs="仿宋"/>
          <w:b/>
        </w:rPr>
        <w:t>阿法替尼推荐剂量调整方案</w:t>
      </w:r>
    </w:p>
    <w:tbl>
      <w:tblPr>
        <w:tblStyle w:val="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243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0" w:type="dxa"/>
          </w:tcPr>
          <w:p>
            <w:pPr>
              <w:tabs>
                <w:tab w:val="left" w:pos="567"/>
              </w:tabs>
              <w:snapToGrid w:val="0"/>
              <w:spacing w:before="156" w:beforeLines="50" w:after="156" w:afterLines="50" w:line="360" w:lineRule="auto"/>
              <w:jc w:val="center"/>
              <w:rPr>
                <w:rFonts w:ascii="仿宋" w:hAnsi="仿宋" w:eastAsia="仿宋" w:cs="仿宋"/>
                <w:b/>
                <w:bCs/>
              </w:rPr>
            </w:pPr>
            <w:r>
              <w:rPr>
                <w:rFonts w:ascii="仿宋" w:hAnsi="仿宋" w:eastAsia="仿宋" w:cs="仿宋"/>
                <w:b/>
                <w:bCs/>
              </w:rPr>
              <w:t>CTCAE</w:t>
            </w:r>
            <w:r>
              <w:rPr>
                <w:rFonts w:ascii="仿宋" w:hAnsi="仿宋" w:eastAsia="仿宋" w:cs="仿宋"/>
                <w:sz w:val="15"/>
                <w:szCs w:val="15"/>
                <w:vertAlign w:val="superscript"/>
              </w:rPr>
              <w:t>a</w:t>
            </w:r>
            <w:r>
              <w:rPr>
                <w:rFonts w:hint="eastAsia" w:ascii="仿宋" w:hAnsi="仿宋" w:eastAsia="仿宋" w:cs="仿宋"/>
                <w:b/>
                <w:bCs/>
              </w:rPr>
              <w:t>（4.0版）</w:t>
            </w:r>
          </w:p>
          <w:p>
            <w:pPr>
              <w:tabs>
                <w:tab w:val="left" w:pos="567"/>
              </w:tabs>
              <w:snapToGrid w:val="0"/>
              <w:spacing w:before="156" w:beforeLines="50" w:after="156" w:afterLines="50" w:line="360" w:lineRule="auto"/>
              <w:jc w:val="center"/>
              <w:rPr>
                <w:rFonts w:ascii="仿宋" w:hAnsi="仿宋" w:eastAsia="仿宋" w:cs="Times New Roman"/>
                <w:b/>
                <w:bCs/>
              </w:rPr>
            </w:pPr>
            <w:r>
              <w:rPr>
                <w:rFonts w:hint="eastAsia" w:ascii="仿宋" w:hAnsi="仿宋" w:eastAsia="仿宋" w:cs="仿宋"/>
                <w:b/>
                <w:bCs/>
              </w:rPr>
              <w:t>药物相关不良事件</w:t>
            </w:r>
          </w:p>
        </w:tc>
        <w:tc>
          <w:tcPr>
            <w:tcW w:w="4876" w:type="dxa"/>
            <w:gridSpan w:val="2"/>
          </w:tcPr>
          <w:p>
            <w:pPr>
              <w:tabs>
                <w:tab w:val="left" w:pos="567"/>
              </w:tabs>
              <w:snapToGrid w:val="0"/>
              <w:spacing w:before="156" w:beforeLines="50" w:after="156" w:afterLines="50" w:line="360" w:lineRule="auto"/>
              <w:jc w:val="center"/>
              <w:rPr>
                <w:rFonts w:ascii="仿宋" w:hAnsi="仿宋" w:eastAsia="仿宋" w:cs="Times New Roman"/>
                <w:b/>
                <w:bCs/>
              </w:rPr>
            </w:pPr>
            <w:r>
              <w:rPr>
                <w:rFonts w:hint="eastAsia" w:ascii="仿宋" w:hAnsi="仿宋" w:eastAsia="仿宋" w:cs="仿宋"/>
                <w:b/>
                <w:bCs/>
              </w:rPr>
              <w:t>阿法替尼的建议给药量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0" w:type="dxa"/>
          </w:tcPr>
          <w:p>
            <w:pPr>
              <w:tabs>
                <w:tab w:val="left" w:pos="567"/>
              </w:tabs>
              <w:snapToGrid w:val="0"/>
              <w:spacing w:before="156" w:beforeLines="50" w:after="156" w:afterLines="50" w:line="360" w:lineRule="auto"/>
              <w:rPr>
                <w:rFonts w:ascii="仿宋" w:hAnsi="仿宋" w:eastAsia="仿宋" w:cs="Times New Roman"/>
              </w:rPr>
            </w:pPr>
            <w:r>
              <w:rPr>
                <w:rFonts w:ascii="仿宋" w:hAnsi="仿宋" w:eastAsia="仿宋" w:cs="仿宋"/>
              </w:rPr>
              <w:t>1～2级</w:t>
            </w:r>
          </w:p>
        </w:tc>
        <w:tc>
          <w:tcPr>
            <w:tcW w:w="2438" w:type="dxa"/>
          </w:tcPr>
          <w:p>
            <w:pPr>
              <w:tabs>
                <w:tab w:val="left" w:pos="567"/>
              </w:tabs>
              <w:snapToGrid w:val="0"/>
              <w:spacing w:before="156" w:beforeLines="50" w:after="156" w:afterLines="50" w:line="360" w:lineRule="auto"/>
              <w:rPr>
                <w:rFonts w:ascii="仿宋" w:hAnsi="仿宋" w:eastAsia="仿宋" w:cs="Times New Roman"/>
              </w:rPr>
            </w:pPr>
            <w:r>
              <w:rPr>
                <w:rFonts w:hint="eastAsia" w:ascii="仿宋" w:hAnsi="仿宋" w:eastAsia="仿宋" w:cs="仿宋"/>
              </w:rPr>
              <w:t>不中断</w:t>
            </w:r>
            <w:r>
              <w:rPr>
                <w:rFonts w:ascii="仿宋" w:hAnsi="仿宋" w:eastAsia="仿宋" w:cs="仿宋"/>
                <w:vertAlign w:val="superscript"/>
              </w:rPr>
              <w:t>b</w:t>
            </w:r>
          </w:p>
        </w:tc>
        <w:tc>
          <w:tcPr>
            <w:tcW w:w="2438" w:type="dxa"/>
          </w:tcPr>
          <w:p>
            <w:pPr>
              <w:tabs>
                <w:tab w:val="left" w:pos="567"/>
              </w:tabs>
              <w:snapToGrid w:val="0"/>
              <w:spacing w:before="156" w:beforeLines="50" w:after="156" w:afterLines="50" w:line="360" w:lineRule="auto"/>
              <w:rPr>
                <w:rFonts w:ascii="仿宋" w:hAnsi="仿宋" w:eastAsia="仿宋" w:cs="Times New Roman"/>
              </w:rPr>
            </w:pPr>
            <w:r>
              <w:rPr>
                <w:rFonts w:hint="eastAsia" w:ascii="仿宋" w:hAnsi="仿宋" w:eastAsia="仿宋" w:cs="仿宋"/>
              </w:rPr>
              <w:t>不调整剂量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260" w:type="dxa"/>
          </w:tcPr>
          <w:p>
            <w:pPr>
              <w:tabs>
                <w:tab w:val="left" w:pos="567"/>
              </w:tabs>
              <w:snapToGrid w:val="0"/>
              <w:spacing w:before="156" w:beforeLines="50" w:after="156" w:afterLines="50" w:line="360" w:lineRule="auto"/>
              <w:rPr>
                <w:rFonts w:ascii="仿宋" w:hAnsi="仿宋" w:eastAsia="仿宋" w:cs="Times New Roman"/>
              </w:rPr>
            </w:pPr>
            <w:r>
              <w:rPr>
                <w:rFonts w:ascii="仿宋" w:hAnsi="仿宋" w:eastAsia="仿宋" w:cs="仿宋"/>
              </w:rPr>
              <w:t>2</w:t>
            </w:r>
            <w:r>
              <w:rPr>
                <w:rFonts w:hint="eastAsia" w:ascii="仿宋" w:hAnsi="仿宋" w:eastAsia="仿宋" w:cs="仿宋"/>
              </w:rPr>
              <w:t>级（延长</w:t>
            </w:r>
            <w:r>
              <w:rPr>
                <w:rFonts w:ascii="仿宋" w:hAnsi="仿宋" w:eastAsia="仿宋" w:cs="仿宋"/>
                <w:vertAlign w:val="superscript"/>
              </w:rPr>
              <w:t>c</w:t>
            </w:r>
            <w:r>
              <w:rPr>
                <w:rFonts w:hint="eastAsia" w:ascii="仿宋" w:hAnsi="仿宋" w:eastAsia="仿宋" w:cs="仿宋"/>
              </w:rPr>
              <w:t>或不耐受）或≥</w:t>
            </w:r>
            <w:r>
              <w:rPr>
                <w:rFonts w:ascii="仿宋" w:hAnsi="仿宋" w:eastAsia="仿宋" w:cs="仿宋"/>
              </w:rPr>
              <w:t>3</w:t>
            </w:r>
            <w:r>
              <w:rPr>
                <w:rFonts w:hint="eastAsia" w:ascii="仿宋" w:hAnsi="仿宋" w:eastAsia="仿宋" w:cs="仿宋"/>
              </w:rPr>
              <w:t>级</w:t>
            </w:r>
          </w:p>
        </w:tc>
        <w:tc>
          <w:tcPr>
            <w:tcW w:w="2438" w:type="dxa"/>
          </w:tcPr>
          <w:p>
            <w:pPr>
              <w:tabs>
                <w:tab w:val="left" w:pos="567"/>
              </w:tabs>
              <w:snapToGrid w:val="0"/>
              <w:spacing w:before="156" w:beforeLines="50" w:after="156" w:afterLines="50" w:line="360" w:lineRule="auto"/>
              <w:rPr>
                <w:rFonts w:ascii="仿宋" w:hAnsi="仿宋" w:eastAsia="仿宋" w:cs="Times New Roman"/>
              </w:rPr>
            </w:pPr>
            <w:r>
              <w:rPr>
                <w:rFonts w:hint="eastAsia" w:ascii="仿宋" w:hAnsi="仿宋" w:eastAsia="仿宋" w:cs="仿宋"/>
              </w:rPr>
              <w:t>中断直到恢复至</w:t>
            </w:r>
            <w:r>
              <w:rPr>
                <w:rFonts w:ascii="仿宋" w:hAnsi="仿宋" w:eastAsia="仿宋" w:cs="仿宋"/>
              </w:rPr>
              <w:t>0/1</w:t>
            </w:r>
            <w:r>
              <w:rPr>
                <w:rFonts w:hint="eastAsia" w:ascii="仿宋" w:hAnsi="仿宋" w:eastAsia="仿宋" w:cs="仿宋"/>
              </w:rPr>
              <w:t>级</w:t>
            </w:r>
            <w:r>
              <w:rPr>
                <w:rFonts w:ascii="仿宋" w:hAnsi="仿宋" w:eastAsia="仿宋" w:cs="仿宋"/>
                <w:vertAlign w:val="superscript"/>
              </w:rPr>
              <w:t>b</w:t>
            </w:r>
          </w:p>
        </w:tc>
        <w:tc>
          <w:tcPr>
            <w:tcW w:w="2438" w:type="dxa"/>
          </w:tcPr>
          <w:p>
            <w:pPr>
              <w:tabs>
                <w:tab w:val="left" w:pos="567"/>
              </w:tabs>
              <w:snapToGrid w:val="0"/>
              <w:spacing w:before="156" w:beforeLines="50" w:after="156" w:afterLines="50" w:line="360" w:lineRule="auto"/>
              <w:rPr>
                <w:rFonts w:ascii="仿宋" w:hAnsi="仿宋" w:eastAsia="仿宋" w:cs="Times New Roman"/>
              </w:rPr>
            </w:pPr>
            <w:r>
              <w:rPr>
                <w:rFonts w:hint="eastAsia" w:ascii="仿宋" w:hAnsi="仿宋" w:eastAsia="仿宋" w:cs="仿宋"/>
              </w:rPr>
              <w:t>以减量</w:t>
            </w:r>
            <w:r>
              <w:rPr>
                <w:rFonts w:ascii="仿宋" w:hAnsi="仿宋" w:eastAsia="仿宋" w:cs="仿宋"/>
              </w:rPr>
              <w:t>10mg</w:t>
            </w:r>
            <w:r>
              <w:rPr>
                <w:rFonts w:hint="eastAsia" w:ascii="仿宋" w:hAnsi="仿宋" w:eastAsia="仿宋" w:cs="仿宋"/>
              </w:rPr>
              <w:t>递减继续</w:t>
            </w:r>
            <w:r>
              <w:rPr>
                <w:rFonts w:ascii="仿宋" w:hAnsi="仿宋" w:eastAsia="仿宋" w:cs="仿宋"/>
                <w:vertAlign w:val="superscript"/>
              </w:rPr>
              <w:t>d</w:t>
            </w:r>
          </w:p>
        </w:tc>
      </w:tr>
    </w:tbl>
    <w:p>
      <w:pPr>
        <w:tabs>
          <w:tab w:val="left" w:pos="1930"/>
        </w:tabs>
        <w:snapToGrid w:val="0"/>
        <w:spacing w:before="156" w:beforeLines="50" w:after="156" w:afterLines="50" w:line="360" w:lineRule="auto"/>
        <w:ind w:firstLine="300" w:firstLineChars="200"/>
        <w:rPr>
          <w:rFonts w:ascii="仿宋" w:hAnsi="仿宋" w:eastAsia="仿宋" w:cs="Times New Roman"/>
          <w:sz w:val="15"/>
          <w:szCs w:val="15"/>
          <w:vertAlign w:val="superscript"/>
        </w:rPr>
      </w:pPr>
      <w:r>
        <w:rPr>
          <w:rFonts w:ascii="仿宋" w:hAnsi="仿宋" w:eastAsia="仿宋" w:cs="仿宋"/>
          <w:sz w:val="15"/>
          <w:szCs w:val="15"/>
          <w:vertAlign w:val="superscript"/>
        </w:rPr>
        <w:t>a</w:t>
      </w:r>
      <w:r>
        <w:rPr>
          <w:rFonts w:hint="eastAsia" w:ascii="仿宋" w:hAnsi="仿宋" w:eastAsia="仿宋" w:cs="仿宋"/>
          <w:sz w:val="15"/>
          <w:szCs w:val="15"/>
        </w:rPr>
        <w:t>美国国立癌症研究所（</w:t>
      </w:r>
      <w:r>
        <w:rPr>
          <w:rFonts w:ascii="仿宋" w:hAnsi="仿宋" w:eastAsia="仿宋" w:cs="仿宋"/>
          <w:sz w:val="15"/>
          <w:szCs w:val="15"/>
        </w:rPr>
        <w:t>NCI</w:t>
      </w:r>
      <w:r>
        <w:rPr>
          <w:rFonts w:hint="eastAsia" w:ascii="仿宋" w:hAnsi="仿宋" w:eastAsia="仿宋" w:cs="仿宋"/>
          <w:sz w:val="15"/>
          <w:szCs w:val="15"/>
        </w:rPr>
        <w:t>）不良事件通用术语标准</w:t>
      </w:r>
      <w:r>
        <w:rPr>
          <w:rFonts w:ascii="仿宋" w:hAnsi="仿宋" w:eastAsia="仿宋" w:cs="仿宋"/>
          <w:sz w:val="15"/>
          <w:szCs w:val="15"/>
        </w:rPr>
        <w:t>3.0</w:t>
      </w:r>
      <w:r>
        <w:rPr>
          <w:rFonts w:hint="eastAsia" w:ascii="仿宋" w:hAnsi="仿宋" w:eastAsia="仿宋" w:cs="仿宋"/>
          <w:sz w:val="15"/>
          <w:szCs w:val="15"/>
        </w:rPr>
        <w:t>版。</w:t>
      </w:r>
    </w:p>
    <w:p>
      <w:pPr>
        <w:widowControl/>
        <w:tabs>
          <w:tab w:val="left" w:pos="567"/>
        </w:tabs>
        <w:snapToGrid w:val="0"/>
        <w:spacing w:before="156" w:beforeLines="50" w:after="156" w:afterLines="50" w:line="360" w:lineRule="auto"/>
        <w:ind w:firstLine="300" w:firstLineChars="200"/>
        <w:jc w:val="left"/>
        <w:rPr>
          <w:rFonts w:ascii="仿宋" w:hAnsi="仿宋" w:eastAsia="仿宋" w:cs="Times New Roman"/>
          <w:kern w:val="0"/>
          <w:sz w:val="15"/>
          <w:szCs w:val="15"/>
          <w:lang w:val="en-GB"/>
        </w:rPr>
      </w:pPr>
      <w:r>
        <w:rPr>
          <w:rFonts w:ascii="仿宋" w:hAnsi="仿宋" w:eastAsia="仿宋" w:cs="仿宋"/>
          <w:kern w:val="0"/>
          <w:sz w:val="15"/>
          <w:szCs w:val="15"/>
          <w:vertAlign w:val="superscript"/>
          <w:lang w:val="en-GB"/>
        </w:rPr>
        <w:t>b</w:t>
      </w:r>
      <w:r>
        <w:rPr>
          <w:rFonts w:hint="eastAsia" w:ascii="仿宋" w:hAnsi="仿宋" w:eastAsia="仿宋" w:cs="仿宋"/>
          <w:kern w:val="0"/>
          <w:sz w:val="15"/>
          <w:szCs w:val="15"/>
          <w:lang w:val="en-GB"/>
        </w:rPr>
        <w:t>发生腹泻时，应立即使用抗腹泻药物（如洛哌丁胺），并且对于持续腹泻的情况应继续用药直到腹泻停止。</w:t>
      </w:r>
    </w:p>
    <w:p>
      <w:pPr>
        <w:snapToGrid w:val="0"/>
        <w:spacing w:before="156" w:beforeLines="50" w:after="156" w:afterLines="50" w:line="360" w:lineRule="auto"/>
        <w:ind w:firstLine="300" w:firstLineChars="200"/>
        <w:rPr>
          <w:rFonts w:ascii="仿宋" w:hAnsi="仿宋" w:eastAsia="仿宋" w:cs="Times New Roman"/>
          <w:sz w:val="15"/>
          <w:szCs w:val="15"/>
        </w:rPr>
      </w:pPr>
      <w:r>
        <w:rPr>
          <w:rFonts w:ascii="仿宋" w:hAnsi="仿宋" w:eastAsia="仿宋" w:cs="仿宋"/>
          <w:sz w:val="15"/>
          <w:szCs w:val="15"/>
          <w:vertAlign w:val="superscript"/>
        </w:rPr>
        <w:t>c</w:t>
      </w:r>
      <w:r>
        <w:rPr>
          <w:rFonts w:hint="eastAsia" w:ascii="仿宋" w:hAnsi="仿宋" w:eastAsia="仿宋" w:cs="仿宋"/>
          <w:sz w:val="15"/>
          <w:szCs w:val="15"/>
        </w:rPr>
        <w:t>腹泻＞</w:t>
      </w:r>
      <w:r>
        <w:rPr>
          <w:rFonts w:ascii="仿宋" w:hAnsi="仿宋" w:eastAsia="仿宋" w:cs="仿宋"/>
          <w:sz w:val="15"/>
          <w:szCs w:val="15"/>
        </w:rPr>
        <w:t>48</w:t>
      </w:r>
      <w:r>
        <w:rPr>
          <w:rFonts w:hint="eastAsia" w:ascii="仿宋" w:hAnsi="仿宋" w:eastAsia="仿宋" w:cs="仿宋"/>
          <w:sz w:val="15"/>
          <w:szCs w:val="15"/>
        </w:rPr>
        <w:t>小时和</w:t>
      </w:r>
      <w:r>
        <w:rPr>
          <w:rFonts w:ascii="仿宋" w:hAnsi="仿宋" w:eastAsia="仿宋" w:cs="仿宋"/>
          <w:sz w:val="15"/>
          <w:szCs w:val="15"/>
        </w:rPr>
        <w:t>/</w:t>
      </w:r>
      <w:r>
        <w:rPr>
          <w:rFonts w:hint="eastAsia" w:ascii="仿宋" w:hAnsi="仿宋" w:eastAsia="仿宋" w:cs="仿宋"/>
          <w:sz w:val="15"/>
          <w:szCs w:val="15"/>
        </w:rPr>
        <w:t>或皮疹＞</w:t>
      </w:r>
      <w:r>
        <w:rPr>
          <w:rFonts w:ascii="仿宋" w:hAnsi="仿宋" w:eastAsia="仿宋" w:cs="仿宋"/>
          <w:sz w:val="15"/>
          <w:szCs w:val="15"/>
        </w:rPr>
        <w:t>7</w:t>
      </w:r>
      <w:r>
        <w:rPr>
          <w:rFonts w:hint="eastAsia" w:ascii="仿宋" w:hAnsi="仿宋" w:eastAsia="仿宋" w:cs="仿宋"/>
          <w:sz w:val="15"/>
          <w:szCs w:val="15"/>
        </w:rPr>
        <w:t>天。</w:t>
      </w:r>
    </w:p>
    <w:p>
      <w:pPr>
        <w:tabs>
          <w:tab w:val="left" w:pos="1930"/>
        </w:tabs>
        <w:snapToGrid w:val="0"/>
        <w:spacing w:before="156" w:beforeLines="50" w:after="156" w:afterLines="50" w:line="360" w:lineRule="auto"/>
        <w:ind w:firstLine="300" w:firstLineChars="200"/>
        <w:rPr>
          <w:rFonts w:ascii="仿宋" w:hAnsi="仿宋" w:eastAsia="仿宋" w:cs="Times New Roman"/>
          <w:sz w:val="15"/>
          <w:szCs w:val="15"/>
        </w:rPr>
      </w:pPr>
      <w:r>
        <w:rPr>
          <w:rFonts w:ascii="仿宋" w:hAnsi="仿宋" w:eastAsia="仿宋" w:cs="仿宋"/>
          <w:sz w:val="15"/>
          <w:szCs w:val="15"/>
          <w:vertAlign w:val="superscript"/>
        </w:rPr>
        <w:t>d</w:t>
      </w:r>
      <w:r>
        <w:rPr>
          <w:rFonts w:hint="eastAsia" w:ascii="仿宋" w:hAnsi="仿宋" w:eastAsia="仿宋" w:cs="仿宋"/>
          <w:sz w:val="15"/>
          <w:szCs w:val="15"/>
        </w:rPr>
        <w:t>如果患者不能耐受每天</w:t>
      </w:r>
      <w:r>
        <w:rPr>
          <w:rFonts w:ascii="仿宋" w:hAnsi="仿宋" w:eastAsia="仿宋" w:cs="仿宋"/>
          <w:sz w:val="15"/>
          <w:szCs w:val="15"/>
        </w:rPr>
        <w:t>20mg</w:t>
      </w:r>
      <w:r>
        <w:rPr>
          <w:rFonts w:hint="eastAsia" w:ascii="仿宋" w:hAnsi="仿宋" w:eastAsia="仿宋" w:cs="仿宋"/>
          <w:sz w:val="15"/>
          <w:szCs w:val="15"/>
        </w:rPr>
        <w:t>，应考虑永久停用本品。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对于临床医生评价为耐受性差的患者，可使用</w:t>
      </w:r>
      <w:r>
        <w:rPr>
          <w:rFonts w:ascii="仿宋" w:hAnsi="仿宋" w:eastAsia="仿宋" w:cs="仿宋"/>
          <w:sz w:val="32"/>
          <w:szCs w:val="32"/>
        </w:rPr>
        <w:t>30mg</w:t>
      </w:r>
      <w:r>
        <w:rPr>
          <w:rFonts w:hint="eastAsia" w:ascii="仿宋" w:hAnsi="仿宋" w:eastAsia="仿宋" w:cs="仿宋"/>
          <w:sz w:val="32"/>
          <w:szCs w:val="32"/>
        </w:rPr>
        <w:t>作为推荐剂量。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阿法替尼不应与食物同服，应当在进食后至少</w:t>
      </w:r>
      <w:r>
        <w:rPr>
          <w:rFonts w:ascii="仿宋" w:hAnsi="仿宋" w:eastAsia="仿宋" w:cs="仿宋"/>
          <w:sz w:val="32"/>
          <w:szCs w:val="32"/>
        </w:rPr>
        <w:t>3</w:t>
      </w:r>
      <w:r>
        <w:rPr>
          <w:rFonts w:hint="eastAsia" w:ascii="仿宋" w:hAnsi="仿宋" w:eastAsia="仿宋" w:cs="仿宋"/>
          <w:sz w:val="32"/>
          <w:szCs w:val="32"/>
        </w:rPr>
        <w:t>小时或进食前至少</w:t>
      </w:r>
      <w:r>
        <w:rPr>
          <w:rFonts w:ascii="仿宋" w:hAnsi="仿宋" w:eastAsia="仿宋" w:cs="仿宋"/>
          <w:sz w:val="32"/>
          <w:szCs w:val="32"/>
        </w:rPr>
        <w:t>1</w:t>
      </w:r>
      <w:r>
        <w:rPr>
          <w:rFonts w:hint="eastAsia" w:ascii="仿宋" w:hAnsi="仿宋" w:eastAsia="仿宋" w:cs="仿宋"/>
          <w:sz w:val="32"/>
          <w:szCs w:val="32"/>
        </w:rPr>
        <w:t>小时服用。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用药期间必须注意腹泻、皮肤相关不良反应、间质性肺炎等不良事件。</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如需要使用</w:t>
      </w:r>
      <w:r>
        <w:rPr>
          <w:rFonts w:ascii="仿宋" w:hAnsi="仿宋" w:eastAsia="仿宋" w:cs="仿宋"/>
          <w:sz w:val="32"/>
          <w:szCs w:val="32"/>
        </w:rPr>
        <w:t>P-糖蛋白</w:t>
      </w:r>
      <w:r>
        <w:rPr>
          <w:rFonts w:hint="eastAsia" w:ascii="仿宋" w:hAnsi="仿宋" w:eastAsia="仿宋" w:cs="仿宋"/>
          <w:sz w:val="32"/>
          <w:szCs w:val="32"/>
        </w:rPr>
        <w:t>（</w:t>
      </w:r>
      <w:r>
        <w:rPr>
          <w:rFonts w:ascii="仿宋" w:hAnsi="仿宋" w:eastAsia="仿宋" w:cs="仿宋"/>
          <w:sz w:val="32"/>
          <w:szCs w:val="32"/>
        </w:rPr>
        <w:t>P-gp</w:t>
      </w:r>
      <w:r>
        <w:rPr>
          <w:rFonts w:hint="eastAsia" w:ascii="仿宋" w:hAnsi="仿宋" w:eastAsia="仿宋" w:cs="仿宋"/>
          <w:sz w:val="32"/>
          <w:szCs w:val="32"/>
        </w:rPr>
        <w:t>）抑制剂，应采用交错剂量给药，尽可能延长与阿法替尼给药的间隔时间。P-gp抑制剂应在阿法替尼给药后间隔6小时（P-gp抑制剂每天两次给药）或12小时（P-gp抑制剂每天一次给药）给药。</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.阿法替尼不通过CYP酶系代谢，体外试验研究显示与CYP抑制剂或诱导剂联用时，对阿法替尼的暴露量无明显影响。</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10.本品含有乳糖，患有罕见遗传性半乳糖不耐症、乳糖酶缺乏症或葡萄糖-半乳糖吸收不良的患者不应服用此药品。</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五、达可替尼 Dacomitinib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片剂：15mg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单药用于EGFR19外显子缺失突变或21外显子L858R置换突变的局部晚期或转移性NSCLC患者的一线治疗。</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highlight w:val="yellow"/>
        </w:rPr>
        <w:t>用药前必须明确有经国家药品监督管理局批准的EGFR基因检测方法检测到的EGFR19外显子缺失突变或21外显子L858R置换突变阳性的患者</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2.建议患者接受本药物治疗直到疾病进展或出现无法耐受的毒性。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3.推荐剂量为45mg口服，每日一次，可与食物同服，也可不与食物同服。对于临床医生评价为耐受性差的年老体弱患者，起始剂量可从30mg口服、每日一次开始。</w:t>
      </w:r>
    </w:p>
    <w:p>
      <w:pPr>
        <w:spacing w:line="360" w:lineRule="auto"/>
        <w:ind w:firstLine="640" w:firstLineChars="200"/>
        <w:rPr>
          <w:rFonts w:ascii="仿宋" w:hAnsi="仿宋" w:eastAsia="仿宋" w:cs="Times New Roman"/>
          <w:sz w:val="32"/>
          <w:szCs w:val="32"/>
        </w:rPr>
      </w:pPr>
      <w:r>
        <w:rPr>
          <w:rFonts w:ascii="仿宋" w:hAnsi="仿宋" w:eastAsia="仿宋"/>
          <w:color w:val="000000"/>
          <w:sz w:val="32"/>
          <w:szCs w:val="32"/>
        </w:rPr>
        <w:t>4</w:t>
      </w:r>
      <w:r>
        <w:rPr>
          <w:rFonts w:hint="eastAsia" w:ascii="仿宋" w:hAnsi="仿宋" w:eastAsia="仿宋"/>
          <w:color w:val="000000"/>
          <w:sz w:val="32"/>
          <w:szCs w:val="32"/>
        </w:rPr>
        <w:t>. 达可替尼常见不良反应为腹泻（87%）、皮疹（69%）、甲沟炎（64%）、口腔黏膜炎（45%）、皮肤干燥（30%）等。</w:t>
      </w:r>
      <w:r>
        <w:rPr>
          <w:rFonts w:hint="eastAsia" w:ascii="仿宋" w:hAnsi="仿宋" w:eastAsia="仿宋" w:cs="仿宋"/>
          <w:sz w:val="32"/>
          <w:szCs w:val="32"/>
        </w:rPr>
        <w:t>应特别关注间质性肺炎的发生。</w:t>
      </w:r>
    </w:p>
    <w:p>
      <w:pPr>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如果出现不良反应，应根据患者的耐受性，以每次减量15mg的方式逐步降低本品的剂量：（1）首次减量至30mg，每日一次；（2）第二次减量至15mg，每日一次。如果患者不耐受15mg，每日一次的给药剂量，应该永久停用。在呼吸系统症状恶化且可能预示间质性肺炎（例如呼吸困难、咳嗽和发热）的患者中暂时停用本品并立即进行间质性肺炎的诊断。如果确诊为任何级别的间质性肺炎，则永久停用本品。</w:t>
      </w:r>
    </w:p>
    <w:p>
      <w:pPr>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.不建议对轻中度肾功能或肝功能损伤的患者调整剂量。尚未确定重度肾功能或肝功能损伤患者的本品推荐剂量。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7.服用本品时，避免同时使用质子泵抑制剂。可使用局部作用的抗酸剂或H</w:t>
      </w:r>
      <w:r>
        <w:rPr>
          <w:rFonts w:hint="eastAsia" w:ascii="仿宋" w:hAnsi="仿宋" w:eastAsia="仿宋"/>
          <w:color w:val="000000"/>
          <w:sz w:val="32"/>
          <w:szCs w:val="32"/>
          <w:vertAlign w:val="subscript"/>
        </w:rPr>
        <w:t>2</w:t>
      </w:r>
      <w:r>
        <w:rPr>
          <w:rFonts w:hint="eastAsia" w:ascii="仿宋" w:hAnsi="仿宋" w:eastAsia="仿宋"/>
          <w:color w:val="000000"/>
          <w:sz w:val="32"/>
          <w:szCs w:val="32"/>
        </w:rPr>
        <w:t>受体拮抗剂代替质子泵抑制剂；必须临时服用H</w:t>
      </w:r>
      <w:r>
        <w:rPr>
          <w:rFonts w:hint="eastAsia" w:ascii="仿宋" w:hAnsi="仿宋" w:eastAsia="仿宋"/>
          <w:color w:val="000000"/>
          <w:sz w:val="32"/>
          <w:szCs w:val="32"/>
          <w:vertAlign w:val="subscript"/>
        </w:rPr>
        <w:t>2</w:t>
      </w:r>
      <w:r>
        <w:rPr>
          <w:rFonts w:hint="eastAsia" w:ascii="仿宋" w:hAnsi="仿宋" w:eastAsia="仿宋"/>
          <w:color w:val="000000"/>
          <w:sz w:val="32"/>
          <w:szCs w:val="32"/>
        </w:rPr>
        <w:t>受体拮抗剂的情况下，至少提前6小时或滞后10小时后给予本品。</w:t>
      </w:r>
    </w:p>
    <w:p>
      <w:pPr>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.服用本品时，避免同时使用CYP2D6底物，因为CYP2D6底物浓度略微增加可能产生严重的或危及生命的毒性。</w:t>
      </w:r>
    </w:p>
    <w:p>
      <w:pPr>
        <w:widowControl/>
        <w:autoSpaceDE w:val="0"/>
        <w:autoSpaceDN w:val="0"/>
        <w:adjustRightInd w:val="0"/>
        <w:spacing w:line="360" w:lineRule="auto"/>
        <w:ind w:firstLine="640" w:firstLineChars="200"/>
        <w:jc w:val="left"/>
        <w:rPr>
          <w:rFonts w:ascii="黑体" w:hAnsi="黑体" w:eastAsia="黑体" w:cs="Times New Roman"/>
          <w:color w:val="000000"/>
          <w:kern w:val="0"/>
          <w:sz w:val="32"/>
          <w:szCs w:val="32"/>
          <w:lang w:val="it-IT"/>
        </w:rPr>
      </w:pPr>
      <w:r>
        <w:rPr>
          <w:rFonts w:hint="eastAsia" w:ascii="黑体" w:hAnsi="黑体" w:eastAsia="黑体" w:cs="黑体"/>
          <w:sz w:val="32"/>
          <w:szCs w:val="32"/>
          <w:lang w:val="it-IT"/>
        </w:rPr>
        <w:t>六、</w:t>
      </w:r>
      <w:r>
        <w:rPr>
          <w:rFonts w:hint="eastAsia" w:ascii="黑体" w:hAnsi="黑体" w:eastAsia="黑体" w:cs="黑体"/>
          <w:sz w:val="32"/>
          <w:szCs w:val="32"/>
        </w:rPr>
        <w:t>奥希替尼O</w:t>
      </w:r>
      <w:r>
        <w:rPr>
          <w:rFonts w:ascii="黑体" w:hAnsi="黑体" w:eastAsia="黑体" w:cs="黑体"/>
          <w:sz w:val="32"/>
          <w:szCs w:val="32"/>
        </w:rPr>
        <w:t>simertinib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片剂：</w:t>
      </w:r>
      <w:r>
        <w:rPr>
          <w:rFonts w:ascii="仿宋" w:hAnsi="仿宋" w:eastAsia="仿宋" w:cs="仿宋"/>
          <w:sz w:val="32"/>
          <w:szCs w:val="32"/>
        </w:rPr>
        <w:t>40mg</w:t>
      </w:r>
      <w:r>
        <w:rPr>
          <w:rFonts w:hint="eastAsia" w:ascii="仿宋" w:hAnsi="仿宋" w:eastAsia="仿宋" w:cs="仿宋"/>
          <w:sz w:val="32"/>
          <w:szCs w:val="32"/>
        </w:rPr>
        <w:t>、</w:t>
      </w:r>
      <w:r>
        <w:rPr>
          <w:rFonts w:ascii="仿宋" w:hAnsi="仿宋" w:eastAsia="仿宋" w:cs="仿宋"/>
          <w:sz w:val="32"/>
          <w:szCs w:val="32"/>
        </w:rPr>
        <w:t>80mg</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1.具有</w:t>
      </w:r>
      <w:r>
        <w:rPr>
          <w:rFonts w:hint="eastAsia" w:ascii="仿宋" w:hAnsi="仿宋" w:eastAsia="仿宋"/>
          <w:color w:val="000000"/>
          <w:sz w:val="32"/>
          <w:szCs w:val="32"/>
        </w:rPr>
        <w:t>EGFR19外显子缺失突变或21外显子L858R置换突变</w:t>
      </w:r>
      <w:r>
        <w:rPr>
          <w:rFonts w:ascii="仿宋" w:hAnsi="仿宋" w:eastAsia="仿宋" w:cs="仿宋"/>
          <w:bCs/>
          <w:sz w:val="32"/>
          <w:szCs w:val="32"/>
        </w:rPr>
        <w:t>的局部晚期或转移性NSCLC成人患者的一线治疗。</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2.既往经</w:t>
      </w:r>
      <w:r>
        <w:rPr>
          <w:rFonts w:ascii="仿宋" w:hAnsi="仿宋" w:eastAsia="仿宋" w:cs="仿宋"/>
          <w:sz w:val="32"/>
          <w:szCs w:val="32"/>
        </w:rPr>
        <w:t>EGFR-TKI</w:t>
      </w:r>
      <w:r>
        <w:rPr>
          <w:rFonts w:hint="eastAsia" w:ascii="仿宋" w:hAnsi="仿宋" w:eastAsia="仿宋" w:cs="仿宋"/>
          <w:sz w:val="32"/>
          <w:szCs w:val="32"/>
        </w:rPr>
        <w:t>治疗时或治疗后出现疾病进展，并且经检测确认存在</w:t>
      </w:r>
      <w:r>
        <w:rPr>
          <w:rFonts w:ascii="仿宋" w:hAnsi="仿宋" w:eastAsia="仿宋" w:cs="仿宋"/>
          <w:sz w:val="32"/>
          <w:szCs w:val="32"/>
        </w:rPr>
        <w:t>EGFR-T790M</w:t>
      </w:r>
      <w:r>
        <w:rPr>
          <w:rFonts w:hint="eastAsia" w:ascii="仿宋" w:hAnsi="仿宋" w:eastAsia="仿宋" w:cs="仿宋"/>
          <w:sz w:val="32"/>
          <w:szCs w:val="32"/>
        </w:rPr>
        <w:t>突变阳性</w:t>
      </w:r>
      <w:r>
        <w:rPr>
          <w:rFonts w:hint="eastAsia" w:ascii="仿宋" w:hAnsi="仿宋" w:eastAsia="仿宋" w:cs="仿宋"/>
          <w:w w:val="98"/>
          <w:sz w:val="32"/>
          <w:szCs w:val="32"/>
        </w:rPr>
        <w:t>的局部晚期或转移性</w:t>
      </w:r>
      <w:r>
        <w:rPr>
          <w:rFonts w:ascii="仿宋" w:hAnsi="仿宋" w:eastAsia="仿宋" w:cs="仿宋"/>
          <w:w w:val="98"/>
          <w:sz w:val="32"/>
          <w:szCs w:val="32"/>
        </w:rPr>
        <w:t>NSCLC</w:t>
      </w:r>
      <w:r>
        <w:rPr>
          <w:rFonts w:hint="eastAsia" w:ascii="仿宋" w:hAnsi="仿宋" w:eastAsia="仿宋" w:cs="仿宋"/>
          <w:w w:val="98"/>
          <w:sz w:val="32"/>
          <w:szCs w:val="32"/>
        </w:rPr>
        <w:t>成人患者的治疗。</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highlight w:val="yellow"/>
        </w:rPr>
        <w:t>一线用药前必须明确有经国家药品监督管理局批准的EGFR基因检测方法检测到的EGFR19外显子缺失突变或21外显子L858R置换突变阳性的患者</w:t>
      </w:r>
      <w:r>
        <w:rPr>
          <w:rFonts w:hint="eastAsia" w:ascii="仿宋" w:hAnsi="仿宋" w:eastAsia="仿宋" w:cs="仿宋"/>
          <w:sz w:val="32"/>
          <w:szCs w:val="32"/>
        </w:rPr>
        <w:t>。对于既往经EGFR-TKI治疗时或治疗后出现疾病进展的患者，用药前必须明确有经国家药品监督管理局批准的检测方法检测到</w:t>
      </w:r>
      <w:r>
        <w:rPr>
          <w:rFonts w:ascii="仿宋" w:hAnsi="仿宋" w:eastAsia="仿宋" w:cs="仿宋"/>
          <w:sz w:val="32"/>
          <w:szCs w:val="32"/>
        </w:rPr>
        <w:t>EGFR-T790M</w:t>
      </w:r>
      <w:r>
        <w:rPr>
          <w:rFonts w:hint="eastAsia" w:ascii="仿宋" w:hAnsi="仿宋" w:eastAsia="仿宋" w:cs="仿宋"/>
          <w:sz w:val="32"/>
          <w:szCs w:val="32"/>
        </w:rPr>
        <w:t>突变。</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肿瘤组织和血液均可用于EGFR突变检测，但组织检测优先。</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3.</w:t>
      </w:r>
      <w:r>
        <w:rPr>
          <w:rFonts w:ascii="仿宋" w:hAnsi="仿宋" w:eastAsia="仿宋" w:cs="仿宋"/>
          <w:sz w:val="32"/>
          <w:szCs w:val="32"/>
        </w:rPr>
        <w:t>EGFR</w:t>
      </w:r>
      <w:r>
        <w:rPr>
          <w:rFonts w:hint="eastAsia" w:ascii="仿宋" w:hAnsi="仿宋" w:eastAsia="仿宋" w:cs="仿宋"/>
          <w:sz w:val="32"/>
          <w:szCs w:val="32"/>
        </w:rPr>
        <w:t>突变阳性的脑转移或脑膜转移患者推荐优先使用奥希替尼。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用药期间必须注意常见的皮肤反应和腹泻，</w:t>
      </w:r>
      <w:r>
        <w:rPr>
          <w:rFonts w:hint="eastAsia"/>
          <w:sz w:val="32"/>
          <w:szCs w:val="32"/>
        </w:rPr>
        <w:t>需注意</w:t>
      </w:r>
      <w:r>
        <w:rPr>
          <w:sz w:val="32"/>
          <w:szCs w:val="32"/>
        </w:rPr>
        <w:t>心电图</w:t>
      </w:r>
      <w:r>
        <w:rPr>
          <w:rFonts w:hint="eastAsia"/>
          <w:sz w:val="32"/>
          <w:szCs w:val="32"/>
        </w:rPr>
        <w:t>QTc间期延长，</w:t>
      </w:r>
      <w:r>
        <w:rPr>
          <w:rFonts w:hint="eastAsia" w:ascii="仿宋" w:hAnsi="仿宋" w:eastAsia="仿宋" w:cs="仿宋"/>
          <w:sz w:val="32"/>
          <w:szCs w:val="32"/>
        </w:rPr>
        <w:t>应特别注意间质性肺炎的发生。</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避免与</w:t>
      </w:r>
      <w:r>
        <w:rPr>
          <w:rFonts w:ascii="仿宋" w:hAnsi="仿宋" w:eastAsia="仿宋" w:cs="仿宋"/>
          <w:sz w:val="32"/>
          <w:szCs w:val="32"/>
        </w:rPr>
        <w:t>CYP3A4</w:t>
      </w:r>
      <w:r>
        <w:rPr>
          <w:rFonts w:hint="eastAsia" w:ascii="仿宋" w:hAnsi="仿宋" w:eastAsia="仿宋" w:cs="仿宋"/>
          <w:sz w:val="32"/>
          <w:szCs w:val="32"/>
        </w:rPr>
        <w:t>强诱导剂、</w:t>
      </w:r>
      <w:r>
        <w:rPr>
          <w:rFonts w:hint="eastAsia"/>
          <w:sz w:val="32"/>
          <w:szCs w:val="32"/>
        </w:rPr>
        <w:t>BCRP底物以及P-gp底物</w:t>
      </w:r>
      <w:r>
        <w:rPr>
          <w:rFonts w:hint="eastAsia" w:ascii="仿宋" w:hAnsi="仿宋" w:eastAsia="仿宋" w:cs="仿宋"/>
          <w:sz w:val="32"/>
          <w:szCs w:val="32"/>
        </w:rPr>
        <w:t>联合使用。</w:t>
      </w:r>
    </w:p>
    <w:p>
      <w:pPr>
        <w:spacing w:line="360" w:lineRule="auto"/>
        <w:ind w:firstLine="640" w:firstLineChars="200"/>
        <w:rPr>
          <w:rFonts w:ascii="黑体" w:hAnsi="黑体" w:eastAsia="黑体" w:cs="Times New Roman"/>
          <w:sz w:val="32"/>
          <w:szCs w:val="32"/>
          <w:lang w:val="fr-FR"/>
        </w:rPr>
      </w:pPr>
      <w:r>
        <w:rPr>
          <w:rFonts w:hint="eastAsia" w:ascii="黑体" w:hAnsi="黑体" w:eastAsia="黑体" w:cs="黑体"/>
          <w:sz w:val="32"/>
          <w:szCs w:val="32"/>
          <w:lang w:val="fr-FR"/>
        </w:rPr>
        <w:t>七、</w:t>
      </w:r>
      <w:r>
        <w:rPr>
          <w:rFonts w:hint="eastAsia" w:ascii="黑体" w:hAnsi="黑体" w:eastAsia="黑体" w:cs="黑体"/>
          <w:sz w:val="32"/>
          <w:szCs w:val="32"/>
        </w:rPr>
        <w:t>克唑替尼 C</w:t>
      </w:r>
      <w:r>
        <w:rPr>
          <w:rFonts w:ascii="黑体" w:hAnsi="黑体" w:eastAsia="黑体" w:cs="黑体"/>
          <w:sz w:val="32"/>
          <w:szCs w:val="32"/>
        </w:rPr>
        <w:t>rizotinib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胶囊：</w:t>
      </w:r>
      <w:r>
        <w:rPr>
          <w:rFonts w:ascii="仿宋" w:hAnsi="仿宋" w:eastAsia="仿宋" w:cs="仿宋"/>
          <w:sz w:val="32"/>
          <w:szCs w:val="32"/>
        </w:rPr>
        <w:t>200mg</w:t>
      </w:r>
      <w:r>
        <w:rPr>
          <w:rFonts w:hint="eastAsia" w:ascii="仿宋" w:hAnsi="仿宋" w:eastAsia="仿宋" w:cs="仿宋"/>
          <w:sz w:val="32"/>
          <w:szCs w:val="32"/>
        </w:rPr>
        <w:t>、</w:t>
      </w:r>
      <w:r>
        <w:rPr>
          <w:rFonts w:ascii="仿宋" w:hAnsi="仿宋" w:eastAsia="仿宋" w:cs="仿宋"/>
          <w:sz w:val="32"/>
          <w:szCs w:val="32"/>
        </w:rPr>
        <w:t>250mg</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适应证：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间变性淋巴瘤激酶（ALK）阳性的局部晚期或转移性</w:t>
      </w:r>
      <w:r>
        <w:rPr>
          <w:rFonts w:ascii="仿宋" w:hAnsi="仿宋" w:eastAsia="仿宋" w:cs="仿宋"/>
          <w:sz w:val="32"/>
          <w:szCs w:val="32"/>
        </w:rPr>
        <w:t>NSCLC</w:t>
      </w:r>
      <w:r>
        <w:rPr>
          <w:rFonts w:hint="eastAsia" w:ascii="仿宋" w:hAnsi="仿宋" w:eastAsia="仿宋" w:cs="仿宋"/>
          <w:sz w:val="32"/>
          <w:szCs w:val="32"/>
        </w:rPr>
        <w:t>患者的治疗。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2.ROS1</w:t>
      </w:r>
      <w:r>
        <w:rPr>
          <w:rFonts w:hint="eastAsia" w:ascii="仿宋" w:hAnsi="仿宋" w:eastAsia="仿宋" w:cs="仿宋"/>
          <w:sz w:val="32"/>
          <w:szCs w:val="32"/>
        </w:rPr>
        <w:t>阳性的晚期</w:t>
      </w:r>
      <w:r>
        <w:rPr>
          <w:rFonts w:ascii="仿宋" w:hAnsi="仿宋" w:eastAsia="仿宋" w:cs="仿宋"/>
          <w:sz w:val="32"/>
          <w:szCs w:val="32"/>
        </w:rPr>
        <w:t>NSCLC</w:t>
      </w:r>
      <w:r>
        <w:rPr>
          <w:rFonts w:hint="eastAsia" w:ascii="仿宋" w:hAnsi="仿宋" w:eastAsia="仿宋" w:cs="仿宋"/>
          <w:sz w:val="32"/>
          <w:szCs w:val="32"/>
        </w:rPr>
        <w:t>患者的治疗。</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highlight w:val="yellow"/>
        </w:rPr>
        <w:t>用药前必须明确有经国家药品监督管理局批准的</w:t>
      </w:r>
      <w:r>
        <w:rPr>
          <w:rFonts w:ascii="仿宋" w:hAnsi="仿宋" w:eastAsia="仿宋" w:cs="仿宋"/>
          <w:sz w:val="32"/>
          <w:szCs w:val="32"/>
          <w:highlight w:val="yellow"/>
        </w:rPr>
        <w:t>ROS1</w:t>
      </w:r>
      <w:r>
        <w:rPr>
          <w:rFonts w:hint="eastAsia" w:ascii="仿宋" w:hAnsi="仿宋" w:eastAsia="仿宋" w:cs="仿宋"/>
          <w:sz w:val="32"/>
          <w:szCs w:val="32"/>
          <w:highlight w:val="yellow"/>
        </w:rPr>
        <w:t>或ALK检测方法检测到的</w:t>
      </w:r>
      <w:r>
        <w:rPr>
          <w:rFonts w:ascii="仿宋" w:hAnsi="仿宋" w:eastAsia="仿宋" w:cs="仿宋"/>
          <w:sz w:val="32"/>
          <w:szCs w:val="32"/>
          <w:highlight w:val="yellow"/>
        </w:rPr>
        <w:t>ROS1</w:t>
      </w:r>
      <w:r>
        <w:rPr>
          <w:rFonts w:hint="eastAsia" w:ascii="仿宋" w:hAnsi="仿宋" w:eastAsia="仿宋" w:cs="仿宋"/>
          <w:sz w:val="32"/>
          <w:szCs w:val="32"/>
          <w:highlight w:val="yellow"/>
        </w:rPr>
        <w:t>阳性或者ALK阳性</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用药期间必须注意常见的肝功能异常和视觉异常，在治疗开始的最初两个月应每周检测一次，之后每月检测一次患者的肝功能，肝损伤患者应谨慎使用克唑替尼进行治疗。</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如果出现</w:t>
      </w:r>
      <w:r>
        <w:rPr>
          <w:rFonts w:ascii="仿宋" w:hAnsi="仿宋" w:eastAsia="仿宋" w:cs="仿宋"/>
          <w:sz w:val="32"/>
          <w:szCs w:val="32"/>
        </w:rPr>
        <w:t>CTCAE</w:t>
      </w:r>
      <w:r>
        <w:rPr>
          <w:rFonts w:hint="eastAsia" w:ascii="仿宋" w:hAnsi="仿宋" w:eastAsia="仿宋" w:cs="仿宋"/>
          <w:sz w:val="32"/>
          <w:szCs w:val="32"/>
        </w:rPr>
        <w:t>（5</w:t>
      </w:r>
      <w:r>
        <w:rPr>
          <w:rFonts w:ascii="仿宋" w:hAnsi="仿宋" w:eastAsia="仿宋" w:cs="仿宋"/>
          <w:sz w:val="32"/>
          <w:szCs w:val="32"/>
        </w:rPr>
        <w:t>.0</w:t>
      </w:r>
      <w:r>
        <w:rPr>
          <w:rFonts w:hint="eastAsia" w:ascii="仿宋" w:hAnsi="仿宋" w:eastAsia="仿宋" w:cs="仿宋"/>
          <w:sz w:val="32"/>
          <w:szCs w:val="32"/>
        </w:rPr>
        <w:t>版）</w:t>
      </w:r>
      <w:r>
        <w:rPr>
          <w:rFonts w:ascii="仿宋" w:hAnsi="仿宋" w:eastAsia="仿宋" w:cs="仿宋"/>
          <w:sz w:val="32"/>
          <w:szCs w:val="32"/>
        </w:rPr>
        <w:t>3</w:t>
      </w:r>
      <w:r>
        <w:rPr>
          <w:rFonts w:hint="eastAsia" w:ascii="仿宋" w:hAnsi="仿宋" w:eastAsia="仿宋" w:cs="仿宋"/>
          <w:sz w:val="32"/>
          <w:szCs w:val="32"/>
        </w:rPr>
        <w:t>级或</w:t>
      </w:r>
      <w:r>
        <w:rPr>
          <w:rFonts w:ascii="仿宋" w:hAnsi="仿宋" w:eastAsia="仿宋" w:cs="仿宋"/>
          <w:sz w:val="32"/>
          <w:szCs w:val="32"/>
        </w:rPr>
        <w:t>4</w:t>
      </w:r>
      <w:r>
        <w:rPr>
          <w:rFonts w:hint="eastAsia" w:ascii="仿宋" w:hAnsi="仿宋" w:eastAsia="仿宋" w:cs="仿宋"/>
          <w:sz w:val="32"/>
          <w:szCs w:val="32"/>
        </w:rPr>
        <w:t>级的不良事件，需按以下方法减少剂量：（</w:t>
      </w:r>
      <w:r>
        <w:rPr>
          <w:rFonts w:ascii="仿宋" w:hAnsi="仿宋" w:eastAsia="仿宋" w:cs="仿宋"/>
          <w:sz w:val="32"/>
          <w:szCs w:val="32"/>
        </w:rPr>
        <w:t>1</w:t>
      </w:r>
      <w:r>
        <w:rPr>
          <w:rFonts w:hint="eastAsia" w:ascii="仿宋" w:hAnsi="仿宋" w:eastAsia="仿宋" w:cs="仿宋"/>
          <w:sz w:val="32"/>
          <w:szCs w:val="32"/>
        </w:rPr>
        <w:t>）第一次减少剂量：口服，</w:t>
      </w:r>
      <w:r>
        <w:rPr>
          <w:rFonts w:ascii="仿宋" w:hAnsi="仿宋" w:eastAsia="仿宋" w:cs="仿宋"/>
          <w:sz w:val="32"/>
          <w:szCs w:val="32"/>
        </w:rPr>
        <w:t>200mg</w:t>
      </w:r>
      <w:r>
        <w:rPr>
          <w:rFonts w:hint="eastAsia" w:ascii="仿宋" w:hAnsi="仿宋" w:eastAsia="仿宋" w:cs="仿宋"/>
          <w:sz w:val="32"/>
          <w:szCs w:val="32"/>
        </w:rPr>
        <w:t>，每日两次。（</w:t>
      </w:r>
      <w:r>
        <w:rPr>
          <w:rFonts w:ascii="仿宋" w:hAnsi="仿宋" w:eastAsia="仿宋" w:cs="仿宋"/>
          <w:sz w:val="32"/>
          <w:szCs w:val="32"/>
        </w:rPr>
        <w:t>2</w:t>
      </w:r>
      <w:r>
        <w:rPr>
          <w:rFonts w:hint="eastAsia" w:ascii="仿宋" w:hAnsi="仿宋" w:eastAsia="仿宋" w:cs="仿宋"/>
          <w:sz w:val="32"/>
          <w:szCs w:val="32"/>
        </w:rPr>
        <w:t>）第二次减少剂量：口服，</w:t>
      </w:r>
      <w:r>
        <w:rPr>
          <w:rFonts w:ascii="仿宋" w:hAnsi="仿宋" w:eastAsia="仿宋" w:cs="仿宋"/>
          <w:sz w:val="32"/>
          <w:szCs w:val="32"/>
        </w:rPr>
        <w:t>250mg</w:t>
      </w:r>
      <w:r>
        <w:rPr>
          <w:rFonts w:hint="eastAsia" w:ascii="仿宋" w:hAnsi="仿宋" w:eastAsia="仿宋" w:cs="仿宋"/>
          <w:sz w:val="32"/>
          <w:szCs w:val="32"/>
        </w:rPr>
        <w:t>，每日一次；如果每日一次口服</w:t>
      </w:r>
      <w:r>
        <w:rPr>
          <w:rFonts w:ascii="仿宋" w:hAnsi="仿宋" w:eastAsia="仿宋" w:cs="仿宋"/>
          <w:sz w:val="32"/>
          <w:szCs w:val="32"/>
        </w:rPr>
        <w:t>250mg</w:t>
      </w:r>
      <w:r>
        <w:rPr>
          <w:rFonts w:hint="eastAsia" w:ascii="仿宋" w:hAnsi="仿宋" w:eastAsia="仿宋" w:cs="仿宋"/>
          <w:sz w:val="32"/>
          <w:szCs w:val="32"/>
        </w:rPr>
        <w:t>克唑替尼胶囊仍无法耐受，则永久停服。</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应避免合并使用CYP3A强抑制剂或CYP3A强诱导剂，如果无法避免合并使用CYP3A强抑制剂，应减少克唑替尼的剂量。应谨慎与中度CYP3A抑制剂合并用药。</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vertAlign w:val="superscript"/>
        </w:rPr>
        <w:t>※</w:t>
      </w:r>
      <w:r>
        <w:rPr>
          <w:rFonts w:ascii="仿宋" w:hAnsi="仿宋" w:eastAsia="仿宋" w:cs="仿宋"/>
          <w:sz w:val="32"/>
          <w:szCs w:val="32"/>
        </w:rPr>
        <w:t>5.</w:t>
      </w:r>
      <w:r>
        <w:rPr>
          <w:rFonts w:hint="eastAsia" w:ascii="仿宋" w:hAnsi="仿宋" w:eastAsia="仿宋" w:cs="仿宋"/>
          <w:sz w:val="32"/>
          <w:szCs w:val="32"/>
        </w:rPr>
        <w:t>用于</w:t>
      </w:r>
      <w:r>
        <w:rPr>
          <w:rFonts w:ascii="仿宋" w:hAnsi="仿宋" w:eastAsia="仿宋" w:cs="仿宋"/>
          <w:sz w:val="32"/>
          <w:szCs w:val="32"/>
        </w:rPr>
        <w:t>cMET14</w:t>
      </w:r>
      <w:r>
        <w:rPr>
          <w:rFonts w:hint="eastAsia" w:ascii="仿宋" w:hAnsi="仿宋" w:eastAsia="仿宋" w:cs="仿宋"/>
          <w:sz w:val="32"/>
          <w:szCs w:val="32"/>
        </w:rPr>
        <w:t>外显子跳跃突变的晚期</w:t>
      </w:r>
      <w:r>
        <w:rPr>
          <w:rFonts w:ascii="仿宋" w:hAnsi="仿宋" w:eastAsia="仿宋" w:cs="仿宋"/>
          <w:sz w:val="32"/>
          <w:szCs w:val="32"/>
        </w:rPr>
        <w:t>NSCLC</w:t>
      </w:r>
      <w:r>
        <w:rPr>
          <w:rFonts w:hint="eastAsia" w:ascii="仿宋" w:hAnsi="仿宋" w:eastAsia="仿宋" w:cs="仿宋"/>
          <w:sz w:val="32"/>
          <w:szCs w:val="32"/>
        </w:rPr>
        <w:t>患者。</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八、阿来替尼 A</w:t>
      </w:r>
      <w:r>
        <w:rPr>
          <w:rFonts w:ascii="黑体" w:hAnsi="黑体" w:eastAsia="黑体"/>
          <w:color w:val="000000"/>
          <w:sz w:val="32"/>
          <w:szCs w:val="32"/>
        </w:rPr>
        <w:t>lectinib</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胶囊：150mg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ALK阳性的局部晚期或转移性NSCLC患者的治疗。</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highlight w:val="yellow"/>
        </w:rPr>
        <w:t>患者用药前必须获得经国家药品监督管理局批准的检测方法证实的ALK阳性结果</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2.建议患者接受本药物治疗直到疾病进展或出现无法耐受的毒性。</w:t>
      </w:r>
    </w:p>
    <w:p>
      <w:pPr>
        <w:ind w:firstLine="640" w:firstLineChars="200"/>
        <w:rPr>
          <w:rFonts w:ascii="仿宋" w:hAnsi="仿宋" w:eastAsia="仿宋"/>
          <w:color w:val="000000"/>
          <w:sz w:val="32"/>
          <w:szCs w:val="32"/>
        </w:rPr>
      </w:pPr>
      <w:r>
        <w:rPr>
          <w:rFonts w:ascii="仿宋" w:hAnsi="仿宋" w:eastAsia="仿宋"/>
          <w:color w:val="000000"/>
          <w:sz w:val="32"/>
          <w:szCs w:val="32"/>
        </w:rPr>
        <w:t>3.推荐剂量为600mg，每日两次</w:t>
      </w:r>
      <w:r>
        <w:rPr>
          <w:rFonts w:hint="eastAsia" w:ascii="仿宋" w:hAnsi="仿宋" w:eastAsia="仿宋"/>
          <w:color w:val="000000"/>
          <w:sz w:val="32"/>
          <w:szCs w:val="32"/>
        </w:rPr>
        <w:t>，</w:t>
      </w:r>
      <w:r>
        <w:rPr>
          <w:rFonts w:ascii="仿宋" w:hAnsi="仿宋" w:eastAsia="仿宋"/>
          <w:color w:val="000000"/>
          <w:sz w:val="32"/>
          <w:szCs w:val="32"/>
        </w:rPr>
        <w:t>随餐口服。如出现不良事件，应根据患者耐受性，以每次减量150mg的方式逐步降低本品的剂量：（1）首次减量：450mg，每日两次。（2）第二次减量：300mg，每日两次；如果患者不能耐受300mg每日两次的给药剂量，应该永久停用。</w:t>
      </w:r>
    </w:p>
    <w:p>
      <w:pPr>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.基线时应监测肝功能，包括ALT、AST和总胆红素，在最初治疗的3个月内每两周监测一次，之后定期进行监测。</w:t>
      </w:r>
    </w:p>
    <w:p>
      <w:pPr>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.建议患者报告任何原因不明的肌痛、触痛或虚弱，评估肌酸磷酸激酶（CPK）水平，在第一个月治疗期间每两周评估一次，随后在临床上根据患者报告的症状按需进行评估。</w:t>
      </w:r>
    </w:p>
    <w:p>
      <w:pPr>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.确诊患有间质性肺病/非感染性肺炎的患者应立即中断本品治疗，如果没有发现其他间质性肺病/非感染性肺炎的潜在病因，则应永久停药。</w:t>
      </w:r>
    </w:p>
    <w:p>
      <w:pPr>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.在服用阿来替尼时及治疗停止后至少7天内，应建议患者避免长时间阳光暴晒。此外，应建议患者使用防紫外线A（UVA）/紫外线B（UVB）的广谱防晒霜和润唇膏（SPF≥50），防止可能的晒伤。</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应根据临床指征监测心率和血压。如果发生无症状心动过缓，则无需调整剂量；如果患者发生症状性心动过缓或危及生命的事件，应对合并用药中已知引发心动过缓的药物（如降压药）进行评估，并依据说明书调整剂量。</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九、塞瑞替尼 Ceritinib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 xml:space="preserve">胶囊：150mg </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 xml:space="preserve"> ALK阳性的局部晚期或转移性NSCLC患者的治疗。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highlight w:val="yellow"/>
        </w:rPr>
        <w:t>用药前必须明确有经国家药品监督管理局批准的间变性淋巴瘤激酶检测方法检测到的ALK阳性</w:t>
      </w:r>
      <w:r>
        <w:rPr>
          <w:rFonts w:hint="eastAsia" w:ascii="仿宋" w:hAnsi="仿宋" w:eastAsia="仿宋"/>
          <w:color w:val="000000"/>
          <w:sz w:val="32"/>
          <w:szCs w:val="32"/>
        </w:rPr>
        <w:t>。</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本品的推荐剂量为每日一次，每次450mg，每天在同一时间口服给药，药物应与食物同时服用。根据患者个体的安全性或耐受性，在治疗过程中可能需要暂时中断使用本品或下调剂量，应以150mg的下调幅度逐渐减少本品的日剂量。应注意早期识别药物不良反应并及早给予标准的支持性治疗措施。对于无法耐受每日随餐服用150mg剂量的患者，应停用本品。</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3.用药期间须注意胃肠道不良反应、肝毒性、间质性肺炎/非感染性肺炎、心律失常、高血糖等不良反应。</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4.本品治疗期间应避免联合使用强效CYP3A抑制剂。如果必须同时使用强效CYP3A抑制剂，则应将塞瑞替尼的剂量减少约三分之一，取整至最接近的150mg整数倍剂量。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5.如果本品与P-gp抑制剂联合使用，可能导致本品浓度升高，注意监测不良反应。</w:t>
      </w:r>
    </w:p>
    <w:p>
      <w:pPr>
        <w:rPr>
          <w:rFonts w:hint="eastAsia" w:ascii="仿宋" w:hAnsi="仿宋" w:eastAsia="仿宋"/>
          <w:color w:val="000000"/>
          <w:sz w:val="32"/>
          <w:szCs w:val="32"/>
        </w:rPr>
      </w:pPr>
      <w:r>
        <w:rPr>
          <w:rFonts w:hint="eastAsia" w:ascii="仿宋" w:hAnsi="仿宋" w:eastAsia="仿宋"/>
          <w:b/>
          <w:color w:val="000000"/>
          <w:sz w:val="32"/>
          <w:szCs w:val="32"/>
          <w:vertAlign w:val="superscript"/>
        </w:rPr>
        <w:t>※</w:t>
      </w:r>
      <w:r>
        <w:rPr>
          <w:rFonts w:hint="eastAsia" w:ascii="仿宋" w:hAnsi="仿宋" w:eastAsia="仿宋"/>
          <w:color w:val="000000"/>
          <w:sz w:val="32"/>
          <w:szCs w:val="32"/>
        </w:rPr>
        <w:t>6.基于一项发表于JCO的Ⅱ期临床研究，</w:t>
      </w:r>
      <w:r>
        <w:rPr>
          <w:rFonts w:hint="eastAsia" w:ascii="仿宋" w:hAnsi="仿宋" w:eastAsia="仿宋"/>
          <w:color w:val="000000"/>
          <w:sz w:val="32"/>
          <w:szCs w:val="32"/>
          <w:highlight w:val="yellow"/>
        </w:rPr>
        <w:t>在经化疗治疗后的ROS1重排的NSCLC患者可选择塞瑞替尼进行治疗</w:t>
      </w:r>
      <w:r>
        <w:rPr>
          <w:rFonts w:hint="eastAsia" w:ascii="仿宋" w:hAnsi="仿宋" w:eastAsia="仿宋"/>
          <w:color w:val="000000"/>
          <w:sz w:val="32"/>
          <w:szCs w:val="32"/>
        </w:rPr>
        <w:t>。</w:t>
      </w:r>
    </w:p>
    <w:p>
      <w:pPr>
        <w:rPr>
          <w:rFonts w:hint="eastAsia" w:ascii="仿宋" w:hAnsi="仿宋" w:eastAsia="仿宋"/>
          <w:color w:val="000000"/>
          <w:sz w:val="32"/>
          <w:szCs w:val="32"/>
        </w:rPr>
      </w:pP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十</w:t>
      </w:r>
      <w:r>
        <w:rPr>
          <w:rFonts w:hint="eastAsia" w:ascii="仿宋" w:hAnsi="仿宋" w:eastAsia="仿宋"/>
          <w:color w:val="000000"/>
          <w:sz w:val="32"/>
          <w:szCs w:val="32"/>
        </w:rPr>
        <w:t>、</w:t>
      </w:r>
      <w:r>
        <w:rPr>
          <w:rFonts w:hint="eastAsia" w:ascii="黑体" w:hAnsi="黑体" w:eastAsia="黑体"/>
          <w:color w:val="000000"/>
          <w:sz w:val="32"/>
          <w:szCs w:val="32"/>
        </w:rPr>
        <w:t>阿美替尼 Almonertinib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片剂：55mg</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既往经EGFR-TKI治疗时或治疗后出现疾病进展，并且经检测确认存在EGFR-T790M突变阳性的局部晚期或转移性NSCLC成人患者的治疗。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1.阿美替尼推荐剂量为110mg，每天一次口服，空腹或餐后服用均可，整片吞服，不要咀嚼或压碎。对于无法整片吞咽药物和需经鼻胃管喂饲的患者，可将药片直接溶于不含碳酸盐的饮用水中完全分散后服用。</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highlight w:val="yellow"/>
        </w:rPr>
        <w:t>用药前必须明确有经国家药品监督管理局批准的检测方法检测到EGFR-T790M突变</w:t>
      </w:r>
      <w:r>
        <w:rPr>
          <w:rFonts w:hint="eastAsia" w:ascii="仿宋" w:hAnsi="仿宋" w:eastAsia="仿宋"/>
          <w:color w:val="000000"/>
          <w:sz w:val="32"/>
          <w:szCs w:val="32"/>
        </w:rPr>
        <w:t>。肿瘤组织和血液均可用于EGFR突变检测，组织检测优先。</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3.阿美替尼常见不良反应为皮疹（18%）、血肌酸磷酸激酶升高（17%）和瘙痒（12.7%）等，腹泻的发生率相对较低（6.7%）。推荐剂量下迄今无间质性肺炎的发生，但仍需在服药期间注意。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4.避免与CYP3A4强诱导剂和强抑制剂联合使用，应慎用为BCRP和P-gp敏感底物的窄治疗窗药物。避免与升高血肌酸磷酸激酶的药物（如他汀类药物）联合使用。</w:t>
      </w:r>
    </w:p>
    <w:p>
      <w:pPr>
        <w:spacing w:line="360" w:lineRule="auto"/>
        <w:ind w:firstLine="640" w:firstLineChars="200"/>
        <w:rPr>
          <w:rFonts w:ascii="黑体" w:hAnsi="黑体" w:eastAsia="黑体"/>
          <w:color w:val="000000"/>
          <w:sz w:val="32"/>
          <w:szCs w:val="32"/>
        </w:rPr>
      </w:pPr>
      <w:r>
        <w:rPr>
          <w:rFonts w:hint="eastAsia" w:ascii="黑体" w:hAnsi="黑体" w:eastAsia="黑体"/>
          <w:sz w:val="32"/>
          <w:szCs w:val="32"/>
          <w:lang w:val="en-GB"/>
        </w:rPr>
        <w:t>十一、</w:t>
      </w:r>
      <w:r>
        <w:rPr>
          <w:rFonts w:hint="eastAsia" w:ascii="黑体" w:hAnsi="黑体" w:eastAsia="黑体"/>
          <w:color w:val="000000"/>
          <w:sz w:val="32"/>
          <w:szCs w:val="32"/>
        </w:rPr>
        <w:t>贝伐珠单抗 B</w:t>
      </w:r>
      <w:r>
        <w:rPr>
          <w:rFonts w:ascii="黑体" w:hAnsi="黑体" w:eastAsia="黑体"/>
          <w:color w:val="000000"/>
          <w:sz w:val="32"/>
          <w:szCs w:val="32"/>
        </w:rPr>
        <w:t>evacizumab</w:t>
      </w:r>
    </w:p>
    <w:p>
      <w:pPr>
        <w:spacing w:line="360" w:lineRule="auto"/>
        <w:ind w:firstLine="643" w:firstLineChars="200"/>
        <w:rPr>
          <w:rFonts w:ascii="仿宋" w:hAnsi="仿宋" w:eastAsia="仿宋"/>
          <w:color w:val="000000"/>
          <w:sz w:val="32"/>
          <w:szCs w:val="32"/>
        </w:rPr>
      </w:pPr>
      <w:r>
        <w:rPr>
          <w:rFonts w:hint="eastAsia" w:ascii="仿宋" w:hAnsi="仿宋" w:eastAsia="仿宋"/>
          <w:b/>
          <w:sz w:val="32"/>
          <w:szCs w:val="32"/>
        </w:rPr>
        <w:t>制剂与规格：</w:t>
      </w:r>
      <w:r>
        <w:rPr>
          <w:rFonts w:hint="eastAsia" w:ascii="仿宋" w:hAnsi="仿宋" w:eastAsia="仿宋"/>
          <w:sz w:val="32"/>
          <w:szCs w:val="32"/>
        </w:rPr>
        <w:t>注射液：100mg（4ml）/瓶</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贝伐珠单抗联合以铂类为基础的化疗用于不可切除的晚期、转移性或复发性非鳞状细胞NSCLC患者的一线治疗。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1.贝伐珠单抗不适用于晚期肺鳞状细胞癌的治疗。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2.有严重出血或者近期曾有咯血、肿瘤侵犯大血管的患者不应接受贝伐珠单抗治疗。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3.贝伐珠单抗联合以铂类为基础的化疗最多6个周期，随后给予贝伐珠单抗单药维持治疗或与可用于维持治疗的化疗药物如培美曲塞联合维持治疗，直至疾病进展或出现不可耐受的毒性。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4.贝伐珠单抗推荐剂量为15mg/kg，每3周给药一次。也可以使用7.5mg/kg，每3周给药一次。</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5.出现以下情况，停止使用贝伐珠单抗：</w:t>
      </w:r>
      <w:r>
        <w:rPr>
          <w:rFonts w:hint="eastAsia" w:ascii="仿宋" w:hAnsi="仿宋" w:eastAsia="仿宋" w:cs="宋体"/>
          <w:color w:val="000000"/>
          <w:sz w:val="32"/>
          <w:szCs w:val="32"/>
        </w:rPr>
        <w:t>（1）</w:t>
      </w:r>
      <w:r>
        <w:rPr>
          <w:rFonts w:hint="eastAsia" w:ascii="仿宋" w:hAnsi="仿宋" w:eastAsia="仿宋"/>
          <w:color w:val="000000"/>
          <w:sz w:val="32"/>
          <w:szCs w:val="32"/>
        </w:rPr>
        <w:t>严重胃肠道不良反应（胃肠道穿孔、胃肠道瘘形成、腹腔脓肿），内脏瘘形成。</w:t>
      </w:r>
      <w:r>
        <w:rPr>
          <w:rFonts w:hint="eastAsia" w:ascii="仿宋" w:hAnsi="仿宋" w:eastAsia="仿宋" w:cs="宋体"/>
          <w:color w:val="000000"/>
          <w:sz w:val="32"/>
          <w:szCs w:val="32"/>
        </w:rPr>
        <w:t>（2）</w:t>
      </w:r>
      <w:r>
        <w:rPr>
          <w:rFonts w:hint="eastAsia" w:ascii="仿宋" w:hAnsi="仿宋" w:eastAsia="仿宋"/>
          <w:color w:val="000000"/>
          <w:sz w:val="32"/>
          <w:szCs w:val="32"/>
        </w:rPr>
        <w:t>需要干预治疗的伤口裂开以及伤口愈合并发症。</w:t>
      </w:r>
      <w:r>
        <w:rPr>
          <w:rFonts w:hint="eastAsia" w:ascii="仿宋" w:hAnsi="仿宋" w:eastAsia="仿宋" w:cs="宋体"/>
          <w:color w:val="000000"/>
          <w:sz w:val="32"/>
          <w:szCs w:val="32"/>
        </w:rPr>
        <w:t>（3）</w:t>
      </w:r>
      <w:r>
        <w:rPr>
          <w:rFonts w:hint="eastAsia" w:ascii="仿宋" w:hAnsi="仿宋" w:eastAsia="仿宋"/>
          <w:color w:val="000000"/>
          <w:sz w:val="32"/>
          <w:szCs w:val="32"/>
        </w:rPr>
        <w:t>重度出血（例如需要干预治疗）</w:t>
      </w:r>
      <w:r>
        <w:rPr>
          <w:rFonts w:hint="eastAsia" w:ascii="仿宋" w:hAnsi="仿宋" w:eastAsia="仿宋" w:cs="宋体"/>
          <w:color w:val="000000"/>
          <w:sz w:val="32"/>
          <w:szCs w:val="32"/>
        </w:rPr>
        <w:t>。（4）</w:t>
      </w:r>
      <w:r>
        <w:rPr>
          <w:rFonts w:hint="eastAsia" w:ascii="仿宋" w:hAnsi="仿宋" w:eastAsia="仿宋"/>
          <w:color w:val="000000"/>
          <w:sz w:val="32"/>
          <w:szCs w:val="32"/>
        </w:rPr>
        <w:t>重度动脉血栓事件。（5）危及生命（</w:t>
      </w:r>
      <w:r>
        <w:rPr>
          <w:rFonts w:ascii="仿宋" w:hAnsi="仿宋" w:eastAsia="仿宋"/>
          <w:color w:val="000000"/>
          <w:sz w:val="32"/>
          <w:szCs w:val="32"/>
        </w:rPr>
        <w:t>4</w:t>
      </w:r>
      <w:r>
        <w:rPr>
          <w:rFonts w:hint="eastAsia" w:ascii="仿宋" w:hAnsi="仿宋" w:eastAsia="仿宋"/>
          <w:color w:val="000000"/>
          <w:sz w:val="32"/>
          <w:szCs w:val="32"/>
        </w:rPr>
        <w:t>级）的静脉血栓栓塞事件，包括肺栓塞。（6）高血压危象或高血压脑病。（7）可逆性后部脑病综合征。（8）肾病综合征。</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6.如果出现以下状况，需暂停使用贝伐珠单抗：（1）择期手术前</w:t>
      </w:r>
      <w:r>
        <w:rPr>
          <w:rFonts w:ascii="仿宋" w:hAnsi="仿宋" w:eastAsia="仿宋"/>
          <w:color w:val="000000"/>
          <w:sz w:val="32"/>
          <w:szCs w:val="32"/>
        </w:rPr>
        <w:t>4</w:t>
      </w:r>
      <w:r>
        <w:rPr>
          <w:rFonts w:hint="eastAsia" w:ascii="仿宋" w:hAnsi="仿宋" w:eastAsia="仿宋"/>
          <w:color w:val="000000"/>
          <w:sz w:val="32"/>
          <w:szCs w:val="32"/>
        </w:rPr>
        <w:t>～6周，手术后至少28天及伤口完全恢复之前。（2）药物控制不良的重度高血压。（3）中度到重度的蛋白尿需要进一步评估。（4）重度输液反应。</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vertAlign w:val="superscript"/>
        </w:rPr>
        <w:t>※</w:t>
      </w:r>
      <w:r>
        <w:rPr>
          <w:rFonts w:hint="eastAsia" w:ascii="仿宋" w:hAnsi="仿宋" w:eastAsia="仿宋"/>
          <w:color w:val="000000"/>
          <w:sz w:val="32"/>
          <w:szCs w:val="32"/>
        </w:rPr>
        <w:t>7.在欧盟，贝伐珠单抗联合厄洛替尼获批用于EGFR基因具有敏感突变的、不可手术切除的晚期、转移性或复发性非鳞状NSCLC患者的一线治疗，目前国内尚未获批此适应证，可在与患者充分沟通的情况下使用。</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十二、重组人血管内皮抑制素 E</w:t>
      </w:r>
      <w:r>
        <w:rPr>
          <w:rFonts w:ascii="黑体" w:hAnsi="黑体" w:eastAsia="黑体" w:cs="黑体"/>
          <w:sz w:val="32"/>
          <w:szCs w:val="32"/>
        </w:rPr>
        <w:t>ndostatin</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针剂：</w:t>
      </w:r>
      <w:r>
        <w:rPr>
          <w:rFonts w:ascii="仿宋" w:hAnsi="仿宋" w:eastAsia="仿宋" w:cs="仿宋"/>
          <w:sz w:val="32"/>
          <w:szCs w:val="32"/>
        </w:rPr>
        <w:t>15mg</w:t>
      </w:r>
      <w:r>
        <w:rPr>
          <w:rFonts w:hint="eastAsia" w:ascii="仿宋" w:hAnsi="仿宋" w:eastAsia="仿宋" w:cs="仿宋"/>
          <w:sz w:val="32"/>
          <w:szCs w:val="32"/>
        </w:rPr>
        <w:t>（</w:t>
      </w:r>
      <w:r>
        <w:rPr>
          <w:rFonts w:ascii="仿宋" w:hAnsi="仿宋" w:eastAsia="仿宋" w:cs="仿宋"/>
          <w:sz w:val="32"/>
          <w:szCs w:val="32"/>
        </w:rPr>
        <w:t>3ml</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本品联合长春瑞滨/顺铂（</w:t>
      </w:r>
      <w:r>
        <w:rPr>
          <w:rFonts w:ascii="仿宋" w:hAnsi="仿宋" w:eastAsia="仿宋" w:cs="仿宋"/>
          <w:sz w:val="32"/>
          <w:szCs w:val="32"/>
        </w:rPr>
        <w:t>NP</w:t>
      </w:r>
      <w:r>
        <w:rPr>
          <w:rFonts w:hint="eastAsia" w:ascii="仿宋" w:hAnsi="仿宋" w:eastAsia="仿宋" w:cs="仿宋"/>
          <w:sz w:val="32"/>
          <w:szCs w:val="32"/>
        </w:rPr>
        <w:t>）化疗方案用于治疗初治或复治的Ⅲ/Ⅳ期</w:t>
      </w:r>
      <w:r>
        <w:rPr>
          <w:rFonts w:ascii="仿宋" w:hAnsi="仿宋" w:eastAsia="仿宋" w:cs="仿宋"/>
          <w:sz w:val="32"/>
          <w:szCs w:val="32"/>
        </w:rPr>
        <w:t>NSCLC</w:t>
      </w:r>
      <w:r>
        <w:rPr>
          <w:rFonts w:hint="eastAsia" w:ascii="仿宋" w:hAnsi="仿宋" w:eastAsia="仿宋" w:cs="仿宋"/>
          <w:sz w:val="32"/>
          <w:szCs w:val="32"/>
        </w:rPr>
        <w:t>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1.重组人血管内皮抑制素与NP方案联合至4个周期，然后采用本品进行维持治疗。本品适用于初治或复治的Ⅲ/Ⅳ期</w:t>
      </w:r>
      <w:r>
        <w:rPr>
          <w:rFonts w:ascii="仿宋" w:hAnsi="仿宋" w:eastAsia="仿宋" w:cs="仿宋"/>
          <w:sz w:val="32"/>
          <w:szCs w:val="32"/>
        </w:rPr>
        <w:t>NSCLC</w:t>
      </w:r>
      <w:r>
        <w:rPr>
          <w:rFonts w:hint="eastAsia" w:ascii="仿宋" w:hAnsi="仿宋" w:eastAsia="仿宋" w:cs="仿宋"/>
          <w:sz w:val="32"/>
          <w:szCs w:val="32"/>
        </w:rPr>
        <w:t>患者。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2.如果出现以下状况，需暂停使用重组人血管内皮抑制素：（1）出现相关心脏毒性反应时，如≥3度或≤2度且毒性反应持续存在。（2）≥3度皮肤过敏反应。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3.重组人血管内皮抑制素主要相关不良事件发生率：基于IV期研究结果，发生率分别为：心律失常（0.7%）、心功能下降（0.2%）、出血（0.4%）、过敏反应（0.2%）。</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过敏体质或对蛋白类生物制品有过敏史者慎用。</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有严重心脏病或病史者慎用，本品临床使用过程中应定期检测心电图。</w:t>
      </w:r>
    </w:p>
    <w:p>
      <w:pPr>
        <w:spacing w:line="360" w:lineRule="auto"/>
        <w:ind w:firstLine="640" w:firstLineChars="200"/>
        <w:rPr>
          <w:rFonts w:ascii="黑体" w:hAnsi="黑体" w:eastAsia="黑体" w:cs="Times New Roman"/>
          <w:sz w:val="32"/>
          <w:szCs w:val="32"/>
          <w:lang w:val="de-DE"/>
        </w:rPr>
      </w:pPr>
      <w:r>
        <w:rPr>
          <w:rFonts w:hint="eastAsia" w:ascii="黑体" w:hAnsi="黑体" w:eastAsia="黑体" w:cs="黑体"/>
          <w:sz w:val="32"/>
          <w:szCs w:val="32"/>
          <w:lang w:val="de-DE"/>
        </w:rPr>
        <w:t>十三、</w:t>
      </w:r>
      <w:r>
        <w:rPr>
          <w:rFonts w:hint="eastAsia" w:ascii="黑体" w:hAnsi="黑体" w:eastAsia="黑体" w:cs="黑体"/>
          <w:sz w:val="32"/>
          <w:szCs w:val="32"/>
        </w:rPr>
        <w:t>安罗替尼 A</w:t>
      </w:r>
      <w:r>
        <w:rPr>
          <w:rFonts w:ascii="黑体" w:hAnsi="黑体" w:eastAsia="黑体" w:cs="黑体"/>
          <w:sz w:val="32"/>
          <w:szCs w:val="32"/>
        </w:rPr>
        <w:t>nlotinib</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制剂与规格：</w:t>
      </w:r>
      <w:r>
        <w:rPr>
          <w:rFonts w:hint="eastAsia" w:ascii="仿宋" w:hAnsi="仿宋" w:eastAsia="仿宋" w:cs="仿宋"/>
          <w:sz w:val="32"/>
          <w:szCs w:val="32"/>
        </w:rPr>
        <w:t>胶囊：</w:t>
      </w:r>
      <w:r>
        <w:rPr>
          <w:rFonts w:ascii="仿宋" w:hAnsi="仿宋" w:eastAsia="仿宋" w:cs="仿宋"/>
          <w:sz w:val="32"/>
          <w:szCs w:val="32"/>
        </w:rPr>
        <w:t>8mg</w:t>
      </w:r>
      <w:r>
        <w:rPr>
          <w:rFonts w:hint="eastAsia" w:ascii="仿宋" w:hAnsi="仿宋" w:eastAsia="仿宋" w:cs="仿宋"/>
          <w:sz w:val="32"/>
          <w:szCs w:val="32"/>
        </w:rPr>
        <w:t>、</w:t>
      </w:r>
      <w:r>
        <w:rPr>
          <w:rFonts w:ascii="仿宋" w:hAnsi="仿宋" w:eastAsia="仿宋" w:cs="仿宋"/>
          <w:sz w:val="32"/>
          <w:szCs w:val="32"/>
        </w:rPr>
        <w:t>10mg</w:t>
      </w:r>
      <w:r>
        <w:rPr>
          <w:rFonts w:hint="eastAsia" w:ascii="仿宋" w:hAnsi="仿宋" w:eastAsia="仿宋" w:cs="仿宋"/>
          <w:sz w:val="32"/>
          <w:szCs w:val="32"/>
        </w:rPr>
        <w:t>、</w:t>
      </w:r>
      <w:r>
        <w:rPr>
          <w:rFonts w:ascii="仿宋" w:hAnsi="仿宋" w:eastAsia="仿宋" w:cs="仿宋"/>
          <w:sz w:val="32"/>
          <w:szCs w:val="32"/>
        </w:rPr>
        <w:t xml:space="preserve">12mg </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适应证：</w:t>
      </w:r>
    </w:p>
    <w:p>
      <w:pPr>
        <w:tabs>
          <w:tab w:val="left" w:pos="709"/>
          <w:tab w:val="left" w:pos="851"/>
        </w:tabs>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1.本品单药适用于既往至少接受过</w:t>
      </w:r>
      <w:r>
        <w:rPr>
          <w:rFonts w:ascii="仿宋" w:hAnsi="仿宋" w:eastAsia="仿宋" w:cs="仿宋"/>
          <w:sz w:val="32"/>
          <w:szCs w:val="32"/>
        </w:rPr>
        <w:t>2</w:t>
      </w:r>
      <w:r>
        <w:rPr>
          <w:rFonts w:hint="eastAsia" w:ascii="仿宋" w:hAnsi="仿宋" w:eastAsia="仿宋" w:cs="仿宋"/>
          <w:sz w:val="32"/>
          <w:szCs w:val="32"/>
        </w:rPr>
        <w:t>种系统化疗后出现进展或复发的局部晚期或转移性</w:t>
      </w:r>
      <w:r>
        <w:rPr>
          <w:rFonts w:ascii="仿宋" w:hAnsi="仿宋" w:eastAsia="仿宋" w:cs="仿宋"/>
          <w:sz w:val="32"/>
          <w:szCs w:val="32"/>
        </w:rPr>
        <w:t>NSCLC</w:t>
      </w:r>
      <w:r>
        <w:rPr>
          <w:rFonts w:hint="eastAsia" w:ascii="仿宋" w:hAnsi="仿宋" w:eastAsia="仿宋" w:cs="仿宋"/>
          <w:sz w:val="32"/>
          <w:szCs w:val="32"/>
        </w:rPr>
        <w:t>患者的治疗。对于存在</w:t>
      </w:r>
      <w:r>
        <w:rPr>
          <w:rFonts w:ascii="仿宋" w:hAnsi="仿宋" w:eastAsia="仿宋" w:cs="仿宋"/>
          <w:sz w:val="32"/>
          <w:szCs w:val="32"/>
        </w:rPr>
        <w:t>EGFR</w:t>
      </w:r>
      <w:r>
        <w:rPr>
          <w:rFonts w:hint="eastAsia" w:ascii="仿宋" w:hAnsi="仿宋" w:eastAsia="仿宋" w:cs="仿宋"/>
          <w:sz w:val="32"/>
          <w:szCs w:val="32"/>
        </w:rPr>
        <w:t>基因突变或ALK阳性的患者，在开始本品治疗前应接受相应的靶向药物治疗后进展、且至少接受过</w:t>
      </w:r>
      <w:r>
        <w:rPr>
          <w:rFonts w:ascii="仿宋" w:hAnsi="仿宋" w:eastAsia="仿宋" w:cs="仿宋"/>
          <w:sz w:val="32"/>
          <w:szCs w:val="32"/>
        </w:rPr>
        <w:t>2</w:t>
      </w:r>
      <w:r>
        <w:rPr>
          <w:rFonts w:hint="eastAsia" w:ascii="仿宋" w:hAnsi="仿宋" w:eastAsia="仿宋" w:cs="仿宋"/>
          <w:sz w:val="32"/>
          <w:szCs w:val="32"/>
        </w:rPr>
        <w:t>种系统化疗后出现进展或复发。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2.本品单药适用于既往至少接受过2种化疗方案治疗后进展或复发的小细胞肺癌患者的治疗。</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highlight w:val="yellow"/>
        </w:rPr>
      </w:pPr>
      <w:r>
        <w:rPr>
          <w:rFonts w:ascii="仿宋" w:hAnsi="仿宋" w:eastAsia="仿宋" w:cs="仿宋"/>
          <w:sz w:val="32"/>
          <w:szCs w:val="32"/>
        </w:rPr>
        <w:t>1.</w:t>
      </w:r>
      <w:r>
        <w:rPr>
          <w:rFonts w:hint="eastAsia" w:ascii="仿宋" w:hAnsi="仿宋" w:eastAsia="仿宋" w:cs="仿宋"/>
          <w:sz w:val="32"/>
          <w:szCs w:val="32"/>
          <w:highlight w:val="yellow"/>
        </w:rPr>
        <w:t>使用安罗替尼前无需进行基因检测，但对于存在</w:t>
      </w:r>
      <w:r>
        <w:rPr>
          <w:rFonts w:ascii="仿宋" w:hAnsi="仿宋" w:eastAsia="仿宋" w:cs="仿宋"/>
          <w:sz w:val="32"/>
          <w:szCs w:val="32"/>
          <w:highlight w:val="yellow"/>
        </w:rPr>
        <w:t>EGFR</w:t>
      </w:r>
      <w:r>
        <w:rPr>
          <w:rFonts w:hint="eastAsia" w:ascii="仿宋" w:hAnsi="仿宋" w:eastAsia="仿宋" w:cs="仿宋"/>
          <w:sz w:val="32"/>
          <w:szCs w:val="32"/>
          <w:highlight w:val="yellow"/>
        </w:rPr>
        <w:t>基因突变或ALK融合阳性的患者，在开始安罗替尼治疗前应接受相应的标准靶向药物治疗后进展、且至少接受过</w:t>
      </w:r>
      <w:r>
        <w:rPr>
          <w:rFonts w:ascii="仿宋" w:hAnsi="仿宋" w:eastAsia="仿宋" w:cs="仿宋"/>
          <w:sz w:val="32"/>
          <w:szCs w:val="32"/>
          <w:highlight w:val="yellow"/>
        </w:rPr>
        <w:t>2</w:t>
      </w:r>
      <w:r>
        <w:rPr>
          <w:rFonts w:hint="eastAsia" w:ascii="仿宋" w:hAnsi="仿宋" w:eastAsia="仿宋" w:cs="仿宋"/>
          <w:sz w:val="32"/>
          <w:szCs w:val="32"/>
          <w:highlight w:val="yellow"/>
        </w:rPr>
        <w:t>种系统化疗后出现进展或复发。</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中央型肺鳞状细胞癌或具有大咯血风险的患者、重度肝肾功能损伤的患者禁用。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安罗替尼有增加发生出血事件和发生血栓</w:t>
      </w:r>
      <w:r>
        <w:rPr>
          <w:rFonts w:ascii="仿宋" w:hAnsi="仿宋" w:eastAsia="仿宋" w:cs="仿宋"/>
          <w:sz w:val="32"/>
          <w:szCs w:val="32"/>
        </w:rPr>
        <w:t>/</w:t>
      </w:r>
      <w:r>
        <w:rPr>
          <w:rFonts w:hint="eastAsia" w:ascii="仿宋" w:hAnsi="仿宋" w:eastAsia="仿宋" w:cs="仿宋"/>
          <w:sz w:val="32"/>
          <w:szCs w:val="32"/>
        </w:rPr>
        <w:t>栓塞事件的风险，因此，具有出血风险、凝血功能异常的患者、具有血栓</w:t>
      </w:r>
      <w:r>
        <w:rPr>
          <w:rFonts w:ascii="仿宋" w:hAnsi="仿宋" w:eastAsia="仿宋" w:cs="仿宋"/>
          <w:sz w:val="32"/>
          <w:szCs w:val="32"/>
        </w:rPr>
        <w:t>/</w:t>
      </w:r>
      <w:r>
        <w:rPr>
          <w:rFonts w:hint="eastAsia" w:ascii="仿宋" w:hAnsi="仿宋" w:eastAsia="仿宋" w:cs="仿宋"/>
          <w:sz w:val="32"/>
          <w:szCs w:val="32"/>
        </w:rPr>
        <w:t>卒中病史的患者以及服用抗凝药物及相关疾病的患者应慎用。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老年患者（</w:t>
      </w:r>
      <w:r>
        <w:rPr>
          <w:rFonts w:ascii="仿宋" w:hAnsi="仿宋" w:eastAsia="仿宋" w:cs="仿宋"/>
          <w:sz w:val="32"/>
          <w:szCs w:val="32"/>
        </w:rPr>
        <w:t>≥65岁</w:t>
      </w:r>
      <w:r>
        <w:rPr>
          <w:rFonts w:hint="eastAsia" w:ascii="仿宋" w:hAnsi="仿宋" w:eastAsia="仿宋" w:cs="仿宋"/>
          <w:sz w:val="32"/>
          <w:szCs w:val="32"/>
        </w:rPr>
        <w:t>）使用安罗替尼时，无需调整用药剂量。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用药期间应密切关注高血压的发生，常规降压药物可有效控制患者血压。</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避免与</w:t>
      </w:r>
      <w:r>
        <w:rPr>
          <w:rFonts w:ascii="仿宋" w:hAnsi="仿宋" w:eastAsia="仿宋" w:cs="仿宋"/>
          <w:sz w:val="32"/>
          <w:szCs w:val="32"/>
        </w:rPr>
        <w:t>CYP1A2</w:t>
      </w:r>
      <w:r>
        <w:rPr>
          <w:rFonts w:hint="eastAsia" w:ascii="仿宋" w:hAnsi="仿宋" w:eastAsia="仿宋" w:cs="仿宋"/>
          <w:sz w:val="32"/>
          <w:szCs w:val="32"/>
        </w:rPr>
        <w:t>和</w:t>
      </w:r>
      <w:r>
        <w:rPr>
          <w:rFonts w:ascii="仿宋" w:hAnsi="仿宋" w:eastAsia="仿宋" w:cs="仿宋"/>
          <w:sz w:val="32"/>
          <w:szCs w:val="32"/>
        </w:rPr>
        <w:t>CYP3A4</w:t>
      </w:r>
      <w:r>
        <w:rPr>
          <w:rFonts w:hint="eastAsia" w:ascii="仿宋" w:hAnsi="仿宋" w:eastAsia="仿宋" w:cs="仿宋"/>
          <w:sz w:val="32"/>
          <w:szCs w:val="32"/>
        </w:rPr>
        <w:t>的强抑制剂和强诱导剂联用。</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十四、纳武利尤单抗 N</w:t>
      </w:r>
      <w:r>
        <w:rPr>
          <w:rFonts w:ascii="黑体" w:hAnsi="黑体" w:eastAsia="黑体" w:cs="黑体"/>
          <w:sz w:val="32"/>
          <w:szCs w:val="32"/>
        </w:rPr>
        <w:t>ivolumab</w:t>
      </w:r>
    </w:p>
    <w:p>
      <w:pPr>
        <w:spacing w:line="360" w:lineRule="auto"/>
        <w:ind w:firstLine="611" w:firstLineChars="200"/>
        <w:rPr>
          <w:rFonts w:ascii="仿宋" w:hAnsi="仿宋" w:eastAsia="仿宋" w:cs="Times New Roman"/>
          <w:b/>
          <w:bCs/>
          <w:w w:val="95"/>
          <w:sz w:val="32"/>
          <w:szCs w:val="32"/>
          <w:lang w:val="it-IT"/>
        </w:rPr>
      </w:pPr>
      <w:r>
        <w:rPr>
          <w:rFonts w:hint="eastAsia" w:ascii="仿宋" w:hAnsi="仿宋" w:eastAsia="仿宋" w:cs="仿宋"/>
          <w:b/>
          <w:bCs/>
          <w:w w:val="95"/>
          <w:sz w:val="32"/>
          <w:szCs w:val="32"/>
        </w:rPr>
        <w:t>制剂与规格</w:t>
      </w:r>
      <w:r>
        <w:rPr>
          <w:rFonts w:hint="eastAsia" w:ascii="仿宋" w:hAnsi="仿宋" w:eastAsia="仿宋" w:cs="仿宋"/>
          <w:w w:val="95"/>
          <w:sz w:val="32"/>
          <w:szCs w:val="32"/>
          <w:lang w:val="it-IT"/>
        </w:rPr>
        <w:t>：注射液：</w:t>
      </w:r>
      <w:r>
        <w:rPr>
          <w:rFonts w:ascii="仿宋" w:hAnsi="仿宋" w:eastAsia="仿宋" w:cs="仿宋"/>
          <w:w w:val="95"/>
          <w:sz w:val="32"/>
          <w:szCs w:val="32"/>
          <w:lang w:val="it-IT"/>
        </w:rPr>
        <w:t>40mg</w:t>
      </w:r>
      <w:r>
        <w:rPr>
          <w:rFonts w:hint="eastAsia" w:ascii="仿宋" w:hAnsi="仿宋" w:eastAsia="仿宋" w:cs="仿宋"/>
          <w:w w:val="95"/>
          <w:sz w:val="32"/>
          <w:szCs w:val="32"/>
          <w:lang w:val="it-IT"/>
        </w:rPr>
        <w:t>（</w:t>
      </w:r>
      <w:r>
        <w:rPr>
          <w:rFonts w:ascii="仿宋" w:hAnsi="仿宋" w:eastAsia="仿宋" w:cs="仿宋"/>
          <w:w w:val="95"/>
          <w:sz w:val="32"/>
          <w:szCs w:val="32"/>
          <w:lang w:val="it-IT"/>
        </w:rPr>
        <w:t>4ml</w:t>
      </w:r>
      <w:r>
        <w:rPr>
          <w:rFonts w:hint="eastAsia" w:ascii="仿宋" w:hAnsi="仿宋" w:eastAsia="仿宋" w:cs="仿宋"/>
          <w:w w:val="95"/>
          <w:sz w:val="32"/>
          <w:szCs w:val="32"/>
          <w:lang w:val="it-IT"/>
        </w:rPr>
        <w:t>）</w:t>
      </w:r>
      <w:r>
        <w:rPr>
          <w:rFonts w:ascii="仿宋" w:hAnsi="仿宋" w:eastAsia="仿宋" w:cs="仿宋"/>
          <w:w w:val="95"/>
          <w:sz w:val="32"/>
          <w:szCs w:val="32"/>
          <w:lang w:val="it-IT"/>
        </w:rPr>
        <w:t>/</w:t>
      </w:r>
      <w:r>
        <w:rPr>
          <w:rFonts w:hint="eastAsia" w:ascii="仿宋" w:hAnsi="仿宋" w:eastAsia="仿宋" w:cs="仿宋"/>
          <w:w w:val="95"/>
          <w:sz w:val="32"/>
          <w:szCs w:val="32"/>
          <w:lang w:val="it-IT"/>
        </w:rPr>
        <w:t>瓶、</w:t>
      </w:r>
      <w:r>
        <w:rPr>
          <w:rFonts w:ascii="仿宋" w:hAnsi="仿宋" w:eastAsia="仿宋" w:cs="仿宋"/>
          <w:w w:val="95"/>
          <w:sz w:val="32"/>
          <w:szCs w:val="32"/>
          <w:lang w:val="it-IT"/>
        </w:rPr>
        <w:t>100mg</w:t>
      </w:r>
      <w:r>
        <w:rPr>
          <w:rFonts w:hint="eastAsia" w:ascii="仿宋" w:hAnsi="仿宋" w:eastAsia="仿宋" w:cs="仿宋"/>
          <w:w w:val="95"/>
          <w:sz w:val="32"/>
          <w:szCs w:val="32"/>
          <w:lang w:val="it-IT"/>
        </w:rPr>
        <w:t>（</w:t>
      </w:r>
      <w:r>
        <w:rPr>
          <w:rFonts w:ascii="仿宋" w:hAnsi="仿宋" w:eastAsia="仿宋" w:cs="仿宋"/>
          <w:w w:val="95"/>
          <w:sz w:val="32"/>
          <w:szCs w:val="32"/>
          <w:lang w:val="it-IT"/>
        </w:rPr>
        <w:t>10ml</w:t>
      </w:r>
      <w:r>
        <w:rPr>
          <w:rFonts w:hint="eastAsia" w:ascii="仿宋" w:hAnsi="仿宋" w:eastAsia="仿宋" w:cs="仿宋"/>
          <w:w w:val="95"/>
          <w:sz w:val="32"/>
          <w:szCs w:val="32"/>
          <w:lang w:val="it-IT"/>
        </w:rPr>
        <w:t>）</w:t>
      </w:r>
      <w:r>
        <w:rPr>
          <w:rFonts w:ascii="仿宋" w:hAnsi="仿宋" w:eastAsia="仿宋" w:cs="仿宋"/>
          <w:w w:val="95"/>
          <w:sz w:val="32"/>
          <w:szCs w:val="32"/>
          <w:lang w:val="it-IT"/>
        </w:rPr>
        <w:t>/</w:t>
      </w:r>
      <w:r>
        <w:rPr>
          <w:rFonts w:hint="eastAsia" w:ascii="仿宋" w:hAnsi="仿宋" w:eastAsia="仿宋" w:cs="仿宋"/>
          <w:w w:val="95"/>
          <w:sz w:val="32"/>
          <w:szCs w:val="32"/>
          <w:lang w:val="it-IT"/>
        </w:rPr>
        <w:t>瓶</w:t>
      </w:r>
    </w:p>
    <w:p>
      <w:pPr>
        <w:spacing w:line="360" w:lineRule="auto"/>
        <w:ind w:firstLine="643" w:firstLineChars="200"/>
        <w:rPr>
          <w:rFonts w:ascii="仿宋" w:hAnsi="仿宋" w:eastAsia="仿宋" w:cs="Times New Roman"/>
          <w:sz w:val="32"/>
          <w:szCs w:val="32"/>
        </w:rPr>
      </w:pPr>
      <w:r>
        <w:rPr>
          <w:rFonts w:hint="eastAsia" w:ascii="仿宋" w:hAnsi="仿宋" w:eastAsia="仿宋" w:cs="仿宋"/>
          <w:b/>
          <w:bCs/>
          <w:sz w:val="32"/>
          <w:szCs w:val="32"/>
        </w:rPr>
        <w:t>适应证</w:t>
      </w:r>
      <w:r>
        <w:rPr>
          <w:rFonts w:hint="eastAsia" w:ascii="仿宋" w:hAnsi="仿宋" w:eastAsia="仿宋" w:cs="仿宋"/>
          <w:sz w:val="32"/>
          <w:szCs w:val="32"/>
        </w:rPr>
        <w:t>：本品单药适用于既往接受过含铂方案化疗后疾</w:t>
      </w:r>
      <w:r>
        <w:rPr>
          <w:rFonts w:hint="eastAsia" w:ascii="仿宋" w:hAnsi="仿宋" w:eastAsia="仿宋" w:cs="仿宋"/>
          <w:w w:val="98"/>
          <w:sz w:val="32"/>
          <w:szCs w:val="32"/>
        </w:rPr>
        <w:t>病进展或不可耐受的局部晚期或转移性</w:t>
      </w:r>
      <w:r>
        <w:rPr>
          <w:rFonts w:ascii="仿宋" w:hAnsi="仿宋" w:eastAsia="仿宋" w:cs="仿宋"/>
          <w:w w:val="98"/>
          <w:sz w:val="32"/>
          <w:szCs w:val="32"/>
        </w:rPr>
        <w:t>NSCLC</w:t>
      </w:r>
      <w:r>
        <w:rPr>
          <w:rFonts w:hint="eastAsia" w:ascii="仿宋" w:hAnsi="仿宋" w:eastAsia="仿宋" w:cs="仿宋"/>
          <w:sz w:val="32"/>
          <w:szCs w:val="32"/>
        </w:rPr>
        <w:t>成人患者的二线治疗，需排除</w:t>
      </w:r>
      <w:r>
        <w:rPr>
          <w:rFonts w:ascii="仿宋" w:hAnsi="仿宋" w:eastAsia="仿宋" w:cs="仿宋"/>
          <w:sz w:val="32"/>
          <w:szCs w:val="32"/>
        </w:rPr>
        <w:t>EGFR</w:t>
      </w:r>
      <w:r>
        <w:rPr>
          <w:rFonts w:hint="eastAsia" w:ascii="仿宋" w:hAnsi="仿宋" w:eastAsia="仿宋" w:cs="仿宋"/>
          <w:sz w:val="32"/>
          <w:szCs w:val="32"/>
        </w:rPr>
        <w:t>基因突变和ALK融合的患者。</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
          <w:b/>
          <w:bCs/>
          <w:sz w:val="32"/>
          <w:szCs w:val="32"/>
        </w:rPr>
        <w:t>合理用药要点：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局部晚期或转移性</w:t>
      </w:r>
      <w:r>
        <w:rPr>
          <w:rFonts w:ascii="仿宋" w:hAnsi="仿宋" w:eastAsia="仿宋" w:cs="仿宋"/>
          <w:sz w:val="32"/>
          <w:szCs w:val="32"/>
        </w:rPr>
        <w:t>NSCLC</w:t>
      </w:r>
      <w:r>
        <w:rPr>
          <w:rFonts w:hint="eastAsia" w:ascii="仿宋" w:hAnsi="仿宋" w:eastAsia="仿宋" w:cs="仿宋"/>
          <w:sz w:val="32"/>
          <w:szCs w:val="32"/>
        </w:rPr>
        <w:t>成人患者，既往接受过含铂方案化疗后疾病进展或不可耐受。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highlight w:val="yellow"/>
        </w:rPr>
        <w:t>患者必须为</w:t>
      </w:r>
      <w:r>
        <w:rPr>
          <w:rFonts w:ascii="仿宋" w:hAnsi="仿宋" w:eastAsia="仿宋" w:cs="仿宋"/>
          <w:sz w:val="32"/>
          <w:szCs w:val="32"/>
          <w:highlight w:val="yellow"/>
        </w:rPr>
        <w:t>EGFR</w:t>
      </w:r>
      <w:r>
        <w:rPr>
          <w:rFonts w:hint="eastAsia" w:ascii="仿宋" w:hAnsi="仿宋" w:eastAsia="仿宋" w:cs="仿宋"/>
          <w:sz w:val="32"/>
          <w:szCs w:val="32"/>
          <w:highlight w:val="yellow"/>
        </w:rPr>
        <w:t>阴性和ALK阴性</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只要观察到临床获益，应继续纳武利尤单抗治疗，直至患者不能耐受，有可能观察到非典型反应（例如最初几个月内肿瘤暂时增大或出现新的小病灶，随后肿瘤缩小）。如果患者临床症状稳定或持续减轻，即使有疾病进展的初步证据，基于总体临床获益的判断，可考虑继续应用本品治疗，直至证实疾病进展。</w:t>
      </w:r>
    </w:p>
    <w:p>
      <w:pPr>
        <w:spacing w:line="360" w:lineRule="auto"/>
        <w:ind w:firstLine="640" w:firstLineChars="200"/>
        <w:rPr>
          <w:rFonts w:ascii="仿宋" w:hAnsi="仿宋" w:eastAsia="仿宋" w:cs="Times New Roman"/>
          <w:color w:val="FF0000"/>
          <w:sz w:val="32"/>
          <w:szCs w:val="32"/>
        </w:rPr>
      </w:pPr>
      <w:r>
        <w:rPr>
          <w:rFonts w:ascii="仿宋" w:hAnsi="仿宋" w:eastAsia="仿宋" w:cs="仿宋"/>
          <w:sz w:val="32"/>
          <w:szCs w:val="32"/>
        </w:rPr>
        <w:t>4.</w:t>
      </w:r>
      <w:r>
        <w:rPr>
          <w:rFonts w:hint="eastAsia" w:ascii="仿宋" w:hAnsi="仿宋" w:eastAsia="仿宋" w:cs="仿宋"/>
          <w:sz w:val="32"/>
          <w:szCs w:val="32"/>
        </w:rPr>
        <w:t>纳武利尤单抗在中国基于</w:t>
      </w:r>
      <w:r>
        <w:rPr>
          <w:rFonts w:ascii="仿宋" w:hAnsi="仿宋" w:eastAsia="仿宋" w:cs="仿宋"/>
          <w:sz w:val="32"/>
          <w:szCs w:val="32"/>
        </w:rPr>
        <w:t>CheckMate 078</w:t>
      </w:r>
      <w:r>
        <w:rPr>
          <w:rFonts w:hint="eastAsia" w:ascii="仿宋" w:hAnsi="仿宋" w:eastAsia="仿宋" w:cs="仿宋"/>
          <w:sz w:val="32"/>
          <w:szCs w:val="32"/>
        </w:rPr>
        <w:t>研究，获批的剂量是</w:t>
      </w:r>
      <w:r>
        <w:rPr>
          <w:rFonts w:ascii="仿宋" w:hAnsi="仿宋" w:eastAsia="仿宋" w:cs="仿宋"/>
          <w:sz w:val="32"/>
          <w:szCs w:val="32"/>
        </w:rPr>
        <w:t>3mg/kg</w:t>
      </w:r>
      <w:r>
        <w:rPr>
          <w:rFonts w:hint="eastAsia" w:ascii="仿宋" w:hAnsi="仿宋" w:eastAsia="仿宋" w:cs="仿宋"/>
          <w:sz w:val="32"/>
          <w:szCs w:val="32"/>
        </w:rPr>
        <w:t>，每</w:t>
      </w:r>
      <w:r>
        <w:rPr>
          <w:rFonts w:ascii="仿宋" w:hAnsi="仿宋" w:eastAsia="仿宋" w:cs="仿宋"/>
          <w:sz w:val="32"/>
          <w:szCs w:val="32"/>
        </w:rPr>
        <w:t>2</w:t>
      </w:r>
      <w:r>
        <w:rPr>
          <w:rFonts w:hint="eastAsia" w:ascii="仿宋" w:hAnsi="仿宋" w:eastAsia="仿宋" w:cs="仿宋"/>
          <w:sz w:val="32"/>
          <w:szCs w:val="32"/>
        </w:rPr>
        <w:t>周一次，</w:t>
      </w:r>
      <w:r>
        <w:rPr>
          <w:rFonts w:ascii="仿宋" w:hAnsi="仿宋" w:eastAsia="仿宋" w:cs="仿宋"/>
          <w:sz w:val="32"/>
          <w:szCs w:val="32"/>
        </w:rPr>
        <w:t>60</w:t>
      </w:r>
      <w:r>
        <w:rPr>
          <w:rFonts w:hint="eastAsia" w:ascii="仿宋" w:hAnsi="仿宋" w:eastAsia="仿宋" w:cs="仿宋"/>
          <w:sz w:val="32"/>
          <w:szCs w:val="32"/>
        </w:rPr>
        <w:t>分钟输注。在欧美，基于</w:t>
      </w:r>
      <w:r>
        <w:rPr>
          <w:rFonts w:ascii="仿宋" w:hAnsi="仿宋" w:eastAsia="仿宋" w:cs="仿宋"/>
          <w:sz w:val="32"/>
          <w:szCs w:val="32"/>
        </w:rPr>
        <w:t>PPK</w:t>
      </w:r>
      <w:r>
        <w:rPr>
          <w:rFonts w:hint="eastAsia" w:ascii="仿宋" w:hAnsi="仿宋" w:eastAsia="仿宋" w:cs="仿宋"/>
          <w:sz w:val="32"/>
          <w:szCs w:val="32"/>
        </w:rPr>
        <w:t>研究，纳武利尤单抗已经获批固定剂量，</w:t>
      </w:r>
      <w:r>
        <w:rPr>
          <w:rFonts w:ascii="仿宋" w:hAnsi="仿宋" w:eastAsia="仿宋" w:cs="仿宋"/>
          <w:sz w:val="32"/>
          <w:szCs w:val="32"/>
        </w:rPr>
        <w:t>480mg</w:t>
      </w:r>
      <w:r>
        <w:rPr>
          <w:rFonts w:hint="eastAsia" w:ascii="仿宋" w:hAnsi="仿宋" w:eastAsia="仿宋" w:cs="仿宋"/>
          <w:sz w:val="32"/>
          <w:szCs w:val="32"/>
        </w:rPr>
        <w:t>、每</w:t>
      </w:r>
      <w:r>
        <w:rPr>
          <w:rFonts w:ascii="仿宋" w:hAnsi="仿宋" w:eastAsia="仿宋" w:cs="仿宋"/>
          <w:sz w:val="32"/>
          <w:szCs w:val="32"/>
        </w:rPr>
        <w:t>4</w:t>
      </w:r>
      <w:r>
        <w:rPr>
          <w:rFonts w:hint="eastAsia" w:ascii="仿宋" w:hAnsi="仿宋" w:eastAsia="仿宋" w:cs="仿宋"/>
          <w:sz w:val="32"/>
          <w:szCs w:val="32"/>
        </w:rPr>
        <w:t>周一次或者</w:t>
      </w:r>
      <w:r>
        <w:rPr>
          <w:rFonts w:ascii="仿宋" w:hAnsi="仿宋" w:eastAsia="仿宋" w:cs="仿宋"/>
          <w:sz w:val="32"/>
          <w:szCs w:val="32"/>
        </w:rPr>
        <w:t>240mg</w:t>
      </w:r>
      <w:r>
        <w:rPr>
          <w:rFonts w:hint="eastAsia" w:ascii="仿宋" w:hAnsi="仿宋" w:eastAsia="仿宋" w:cs="仿宋"/>
          <w:sz w:val="32"/>
          <w:szCs w:val="32"/>
        </w:rPr>
        <w:t>、每</w:t>
      </w:r>
      <w:r>
        <w:rPr>
          <w:rFonts w:ascii="仿宋" w:hAnsi="仿宋" w:eastAsia="仿宋" w:cs="仿宋"/>
          <w:sz w:val="32"/>
          <w:szCs w:val="32"/>
        </w:rPr>
        <w:t>2</w:t>
      </w:r>
      <w:r>
        <w:rPr>
          <w:rFonts w:hint="eastAsia" w:ascii="仿宋" w:hAnsi="仿宋" w:eastAsia="仿宋" w:cs="仿宋"/>
          <w:sz w:val="32"/>
          <w:szCs w:val="32"/>
        </w:rPr>
        <w:t>周一次，</w:t>
      </w:r>
      <w:r>
        <w:rPr>
          <w:rFonts w:ascii="仿宋" w:hAnsi="仿宋" w:eastAsia="仿宋" w:cs="仿宋"/>
          <w:sz w:val="32"/>
          <w:szCs w:val="32"/>
        </w:rPr>
        <w:t>30</w:t>
      </w:r>
      <w:r>
        <w:rPr>
          <w:rFonts w:hint="eastAsia" w:ascii="仿宋" w:hAnsi="仿宋" w:eastAsia="仿宋" w:cs="仿宋"/>
          <w:sz w:val="32"/>
          <w:szCs w:val="32"/>
        </w:rPr>
        <w:t>分钟输注。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根据个体患者的安全性和耐受性，可暂停给药或停药。不建议增加或减少剂量。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发生</w:t>
      </w:r>
      <w:r>
        <w:rPr>
          <w:rFonts w:ascii="仿宋" w:hAnsi="仿宋" w:eastAsia="仿宋" w:cs="仿宋"/>
          <w:sz w:val="32"/>
          <w:szCs w:val="32"/>
        </w:rPr>
        <w:t>4</w:t>
      </w:r>
      <w:r>
        <w:rPr>
          <w:rFonts w:hint="eastAsia" w:ascii="仿宋" w:hAnsi="仿宋" w:eastAsia="仿宋" w:cs="仿宋"/>
          <w:sz w:val="32"/>
          <w:szCs w:val="32"/>
        </w:rPr>
        <w:t>级或复发性</w:t>
      </w:r>
      <w:r>
        <w:rPr>
          <w:rFonts w:ascii="仿宋" w:hAnsi="仿宋" w:eastAsia="仿宋" w:cs="仿宋"/>
          <w:sz w:val="32"/>
          <w:szCs w:val="32"/>
        </w:rPr>
        <w:t>3</w:t>
      </w:r>
      <w:r>
        <w:rPr>
          <w:rFonts w:hint="eastAsia" w:ascii="仿宋" w:hAnsi="仿宋" w:eastAsia="仿宋" w:cs="仿宋"/>
          <w:sz w:val="32"/>
          <w:szCs w:val="32"/>
        </w:rPr>
        <w:t>级不良反应，虽然进行治疗调整但仍持续存在</w:t>
      </w:r>
      <w:r>
        <w:rPr>
          <w:rFonts w:ascii="仿宋" w:hAnsi="仿宋" w:eastAsia="仿宋" w:cs="仿宋"/>
          <w:sz w:val="32"/>
          <w:szCs w:val="32"/>
        </w:rPr>
        <w:t>2</w:t>
      </w:r>
      <w:r>
        <w:rPr>
          <w:rFonts w:hint="eastAsia" w:ascii="仿宋" w:hAnsi="仿宋" w:eastAsia="仿宋" w:cs="仿宋"/>
          <w:sz w:val="32"/>
          <w:szCs w:val="32"/>
        </w:rPr>
        <w:t>级或</w:t>
      </w:r>
      <w:r>
        <w:rPr>
          <w:rFonts w:ascii="仿宋" w:hAnsi="仿宋" w:eastAsia="仿宋" w:cs="仿宋"/>
          <w:sz w:val="32"/>
          <w:szCs w:val="32"/>
        </w:rPr>
        <w:t>3</w:t>
      </w:r>
      <w:r>
        <w:rPr>
          <w:rFonts w:hint="eastAsia" w:ascii="仿宋" w:hAnsi="仿宋" w:eastAsia="仿宋" w:cs="仿宋"/>
          <w:sz w:val="32"/>
          <w:szCs w:val="32"/>
        </w:rPr>
        <w:t>级不良反应，应永久性停用纳武利尤单抗。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老年患者（≥</w:t>
      </w:r>
      <w:r>
        <w:rPr>
          <w:rFonts w:ascii="仿宋" w:hAnsi="仿宋" w:eastAsia="仿宋" w:cs="仿宋"/>
          <w:sz w:val="32"/>
          <w:szCs w:val="32"/>
        </w:rPr>
        <w:t>65</w:t>
      </w:r>
      <w:r>
        <w:rPr>
          <w:rFonts w:hint="eastAsia" w:ascii="仿宋" w:hAnsi="仿宋" w:eastAsia="仿宋" w:cs="仿宋"/>
          <w:sz w:val="32"/>
          <w:szCs w:val="32"/>
        </w:rPr>
        <w:t>岁）无需调整剂量。</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轻中度肾功能损伤患者无需调整剂量。重度肾功能损伤患者的数据有限。</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轻中度肝功能损伤患者无需调整剂量，没有对重度肝功能损伤患者进行本品的相关研究，重度（总胆红素、ALT或</w:t>
      </w:r>
      <w:r>
        <w:rPr>
          <w:rFonts w:ascii="仿宋" w:hAnsi="仿宋" w:eastAsia="仿宋" w:cs="仿宋"/>
          <w:sz w:val="32"/>
          <w:szCs w:val="32"/>
        </w:rPr>
        <w:t>AST</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倍正常值上限）肝功能损伤患者必须慎用本品。</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纳武利尤单抗可引起免疫相关性不良反应。因为不良反应可能在纳武利尤单抗治疗期间或纳武利尤单抗治疗停止后的任何时间发生，应持续进行患者监测（至少至末次给药后</w:t>
      </w:r>
      <w:r>
        <w:rPr>
          <w:rFonts w:ascii="仿宋" w:hAnsi="仿宋" w:eastAsia="仿宋" w:cs="仿宋"/>
          <w:sz w:val="32"/>
          <w:szCs w:val="32"/>
        </w:rPr>
        <w:t>5</w:t>
      </w:r>
      <w:r>
        <w:rPr>
          <w:rFonts w:hint="eastAsia" w:ascii="仿宋" w:hAnsi="仿宋" w:eastAsia="仿宋" w:cs="仿宋"/>
          <w:sz w:val="32"/>
          <w:szCs w:val="32"/>
        </w:rPr>
        <w:t>个月）。</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至少</w:t>
      </w:r>
      <w:r>
        <w:rPr>
          <w:rFonts w:ascii="仿宋" w:hAnsi="仿宋" w:eastAsia="仿宋" w:cs="仿宋"/>
          <w:sz w:val="32"/>
          <w:szCs w:val="32"/>
        </w:rPr>
        <w:t>1</w:t>
      </w:r>
      <w:r>
        <w:rPr>
          <w:rFonts w:hint="eastAsia" w:ascii="仿宋" w:hAnsi="仿宋" w:eastAsia="仿宋" w:cs="仿宋"/>
          <w:sz w:val="32"/>
          <w:szCs w:val="32"/>
        </w:rPr>
        <w:t>个月的时间逐渐减量至停药。快速减量可能引起不良反应恶化或复发。如果虽使用了糖皮质激素但仍恶化或无改善，则应增加非糖皮质激素性免疫抑制治疗。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在患者接受免疫抑制剂量的糖皮质激素或其他免疫抑制治疗期间，不可重新使用纳武利尤单抗治疗。</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如果出现任何重度、复发的免疫相关性不良反应以及任何危及生命的免疫相关性不良反应，必须永久停止纳武利尤单抗治疗。</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纳武利尤单抗注射液每毫升含</w:t>
      </w:r>
      <w:r>
        <w:rPr>
          <w:rFonts w:ascii="仿宋" w:hAnsi="仿宋" w:eastAsia="仿宋" w:cs="仿宋"/>
          <w:sz w:val="32"/>
          <w:szCs w:val="32"/>
        </w:rPr>
        <w:t>0.1m</w:t>
      </w:r>
      <w:r>
        <w:rPr>
          <w:rFonts w:hint="eastAsia" w:ascii="仿宋" w:hAnsi="仿宋" w:eastAsia="仿宋" w:cs="仿宋"/>
          <w:sz w:val="32"/>
          <w:szCs w:val="32"/>
        </w:rPr>
        <w:t>mol（或</w:t>
      </w:r>
      <w:r>
        <w:rPr>
          <w:rFonts w:ascii="仿宋" w:hAnsi="仿宋" w:eastAsia="仿宋" w:cs="仿宋"/>
          <w:sz w:val="32"/>
          <w:szCs w:val="32"/>
        </w:rPr>
        <w:t>2.5mg</w:t>
      </w:r>
      <w:r>
        <w:rPr>
          <w:rFonts w:hint="eastAsia" w:ascii="仿宋" w:hAnsi="仿宋" w:eastAsia="仿宋" w:cs="仿宋"/>
          <w:sz w:val="32"/>
          <w:szCs w:val="32"/>
        </w:rPr>
        <w:t>）钠，在对控制钠摄入的患者进行治疗时应考虑这一因素。</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纳武利尤单抗是一种人单克隆抗体，因单克隆抗体不经CYP450或其他药物代谢酶代谢，因此，合并使用的药物对这些酶的抑制或诱导作用预期不会影响纳武利尤单抗的药代动力学性质。</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vertAlign w:val="superscript"/>
        </w:rPr>
        <w:t>※</w:t>
      </w:r>
      <w:r>
        <w:rPr>
          <w:rFonts w:hint="eastAsia" w:ascii="仿宋" w:hAnsi="仿宋" w:eastAsia="仿宋" w:cs="仿宋"/>
          <w:sz w:val="32"/>
          <w:szCs w:val="32"/>
        </w:rPr>
        <w:t>16.在美国，纳武利尤单抗获批用于接受过含铂方案化疗以及至少一种其他疗法的小细胞肺癌，目前国内尚未获批此适应证，可在与患者充分沟通的情况下使用。用法为240mg固定剂量，每2周一次，30分钟输注。</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十五、帕博利珠单抗Pembrolizumab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 xml:space="preserve">注射液：100mg（4ml）/瓶 </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适应证：</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highlight w:val="yellow"/>
        </w:rPr>
        <w:t>帕博利珠单抗联合培美曲塞和铂类化疗药适用于EGFR基因突变阴性和ALK阴性的转移性非鳞状NSCLC的一线治疗</w:t>
      </w:r>
      <w:r>
        <w:rPr>
          <w:rFonts w:hint="eastAsia" w:ascii="仿宋" w:hAnsi="仿宋" w:eastAsia="仿宋"/>
          <w:color w:val="000000"/>
          <w:sz w:val="32"/>
          <w:szCs w:val="32"/>
        </w:rPr>
        <w:t>。</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2.帕博利珠单抗适用于由国家药品监督管理局批准的检测评估为PD-L1肿瘤比例分数（TPS）≥1%的EGFR基因突变阴性和ALK阴性的局部晚期或转移性NSCLC一线单药治疗。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3.帕博利珠单抗联合卡铂和紫杉醇适用于转移性鳞状NSCLC患者的一线治疗。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只要观察到临床获益，应继续使用帕博利珠单抗治疗至疾病进展或发生不可接受的毒性，有可能观察到非典型反应（例如，治疗最初几个月内肿瘤出现暂时增大或出现新的小病灶，随后肿瘤缩小）。如果患者临床症状稳定，即使有疾病进展的初步证据，但基于总体临床获益的判断，可考虑继续应用本品治疗，直至证实疾病进展。</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2.帕博利珠单抗经国家药品监督管理局获批的首个一线肺癌适应证是基于全球Ⅲ期临床研究KEYNOTE-189研究结果，在中国获批的肺癌适应证剂量是200mg固定剂量，通过静脉注射给药，每3周一次，每次持续至少30分钟。</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4.根据个体患者的安全性和耐受性，可能需要暂停给药或停药，不建议增加或减少剂量。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5.发生4级或复发性3级不良反应，虽然进行治疗调整但仍持续存在2级或3级不良反应，应永久性停用帕博利珠单抗。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6.老年患者（≥65岁）无需调整剂量。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7.轻中度肾功能损伤患者无需调整剂量，重度肾功能损伤患者的数据有限。</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8.轻度肝功能损伤患者无需调整剂量，尚未在中重度肝功能损伤患者中进行本品的相关研究。</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9.帕博利珠单抗可引起免疫相关性不良反应。因为不良反应可能在帕博利珠单抗治疗期间或帕博利珠单抗治疗停止后的任何时间发生，应持续进行患者监测（至少至末次给药后5个月）。</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对于疑似免疫相关性不良反应，应进行充分的评估以确认病因或排除其他病因。根据不良反应的严重程度，应暂时停用帕博利珠单抗，并应用糖皮质激素治疗。当免疫相关性不良反应改善至≤1级时，需至少一个月的时间逐步减少糖皮质激素的用量直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11.在患者接受免疫抑制剂量的糖皮质激素或其他免疫抑制剂治疗期间，不可重新使用帕博利珠单抗治疗。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12.如果出现任何重度、复发的免疫相关性不良反应以及任何危及生命的免疫相关性不良反应，必须永久停止帕博利珠单抗治疗。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13.帕博利珠单抗是一种人单克隆抗体，因单克隆抗体不经CYP450或其他药物代谢酶代谢，因此，合并使用的药物对这些酶的抑制或诱导作用预期不会影响帕博利珠单抗的药代动力学性质。</w:t>
      </w:r>
    </w:p>
    <w:p>
      <w:pPr>
        <w:spacing w:line="360" w:lineRule="auto"/>
        <w:ind w:firstLine="643" w:firstLineChars="200"/>
        <w:rPr>
          <w:rFonts w:ascii="仿宋" w:hAnsi="仿宋" w:eastAsia="仿宋"/>
          <w:color w:val="000000"/>
          <w:sz w:val="32"/>
          <w:szCs w:val="32"/>
        </w:rPr>
      </w:pPr>
      <w:r>
        <w:rPr>
          <w:rFonts w:hint="eastAsia" w:ascii="仿宋" w:hAnsi="仿宋" w:eastAsia="仿宋" w:cs="仿宋"/>
          <w:b/>
          <w:bCs/>
          <w:sz w:val="32"/>
          <w:szCs w:val="32"/>
          <w:vertAlign w:val="superscript"/>
        </w:rPr>
        <w:t>※</w:t>
      </w:r>
      <w:r>
        <w:rPr>
          <w:rFonts w:hint="eastAsia" w:ascii="仿宋" w:hAnsi="仿宋" w:eastAsia="仿宋"/>
          <w:color w:val="000000"/>
          <w:sz w:val="32"/>
          <w:szCs w:val="32"/>
        </w:rPr>
        <w:t>14.</w:t>
      </w:r>
      <w:r>
        <w:rPr>
          <w:rFonts w:hint="eastAsia" w:ascii="仿宋" w:hAnsi="仿宋" w:eastAsia="仿宋"/>
          <w:color w:val="000000"/>
          <w:sz w:val="32"/>
          <w:szCs w:val="32"/>
          <w:highlight w:val="yellow"/>
        </w:rPr>
        <w:t>美国FDA、欧盟EMA和日本PMDA批准帕博利珠单抗的适应证还包括：在排除EGFR或ALK阳性基础上，用于PD-L1表达≥1%的晚期NSCLC二线单药治疗</w:t>
      </w:r>
      <w:r>
        <w:rPr>
          <w:rFonts w:hint="eastAsia" w:ascii="仿宋" w:hAnsi="仿宋" w:eastAsia="仿宋"/>
          <w:color w:val="000000"/>
          <w:sz w:val="32"/>
          <w:szCs w:val="32"/>
        </w:rPr>
        <w:t>。美国FDA批准帕博利珠单抗单药适用于经铂类为基础的化疗方案以及至少一种其他疗法治疗失败的晚期小细胞肺癌患者（即三线及三线以上的治疗）。美国FDA还批准帕博利珠单抗单药用于治疗成人和儿童不可切除或转移性MSI-H或错配修复缺陷的实体瘤以及肿瘤突变负荷高（TMB-H）的无法切除或转移性实体瘤（包括小细胞肺癌）。美国FDA批准的用法除每次200mg、每3周一次之外，还包括每次400mg，每6周一次。目前国内尚未获批这些适应证，可在与患者充分沟通的情况下、按照FDA批准的用法正确使用。</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十六、度伐利尤单抗 Durvalumab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注射液：120mg（2.4ml）/瓶、500mg（10ml）/瓶</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度伐利尤单抗适用于在接受铂类药物为基础的化疗同步放疗后未出现疾病进展的不可切除、Ⅲ期NSCLC患者的治疗。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1.度伐利尤单抗的使用方法是10mg/kg，静脉注射给药，每2周一次，每次输注需超过60分钟，直至出现疾病进展或不能耐受的毒性。最长使用不超过12个月。</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w:t>
      </w:r>
      <w:bookmarkStart w:id="0" w:name="_Hlk59364010"/>
      <w:r>
        <w:rPr>
          <w:rFonts w:hint="eastAsia" w:ascii="仿宋" w:hAnsi="仿宋" w:eastAsia="仿宋"/>
          <w:color w:val="000000"/>
          <w:sz w:val="32"/>
          <w:szCs w:val="32"/>
        </w:rPr>
        <w:t>对于疑似免疫相关性不良反应，应进行充分的评估以确认病因或排除其他病因。</w:t>
      </w:r>
      <w:bookmarkEnd w:id="0"/>
      <w:r>
        <w:rPr>
          <w:rFonts w:hint="eastAsia" w:ascii="仿宋" w:hAnsi="仿宋" w:eastAsia="仿宋"/>
          <w:color w:val="000000"/>
          <w:sz w:val="32"/>
          <w:szCs w:val="32"/>
        </w:rPr>
        <w:t>根据免疫相关性不良反应的类型和严重程度，暂停给药或永久停药，不建议增加或减少剂量。</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尚未确立度伐利尤单抗在18岁以下儿童及青少年中的安全性和有效性。老年患者（≥65岁）、轻度肝功能损伤患者、轻度和中度肾功能损伤患者，均无需进行剂量调整。在中重度肝功能损伤患者、重度肾功能损伤患者中使用的安全性及有效性尚未建立，如经医师评估使用本品预期获益大于风险，需在医师指导下谨慎使用。</w:t>
      </w:r>
    </w:p>
    <w:p>
      <w:pPr>
        <w:spacing w:line="360" w:lineRule="auto"/>
        <w:ind w:firstLine="643" w:firstLineChars="200"/>
        <w:rPr>
          <w:rFonts w:ascii="仿宋" w:hAnsi="仿宋" w:eastAsia="仿宋"/>
          <w:color w:val="000000"/>
          <w:sz w:val="32"/>
          <w:szCs w:val="32"/>
        </w:rPr>
      </w:pPr>
      <w:r>
        <w:rPr>
          <w:rFonts w:hint="eastAsia" w:ascii="仿宋" w:hAnsi="仿宋" w:eastAsia="仿宋" w:cs="仿宋"/>
          <w:b/>
          <w:bCs/>
          <w:sz w:val="32"/>
          <w:szCs w:val="32"/>
          <w:vertAlign w:val="superscript"/>
        </w:rPr>
        <w:t>※</w:t>
      </w:r>
      <w:r>
        <w:rPr>
          <w:rFonts w:hint="eastAsia" w:ascii="仿宋" w:hAnsi="仿宋" w:eastAsia="仿宋"/>
          <w:color w:val="000000"/>
          <w:sz w:val="32"/>
          <w:szCs w:val="32"/>
        </w:rPr>
        <w:t>4.美国FDA还批准了度伐利尤单抗联合依托泊苷/卡铂或顺铂用于广泛期小细胞肺癌的一线治疗，目前国内尚未获批此适应证，可在与患者充分沟通的情况下使用。用法为1500mg固定剂量，与依托泊苷/卡铂或顺铂联用时，应首先给予度伐利尤单抗，每3周一次；与化疗联用结束后每4周一次，单药维持至疾病进展。</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十七、卡瑞利珠单抗Camrelizumab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粉针剂：200mg/瓶</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卡瑞利珠单抗联合培美曲塞和卡铂适用于EGFR基因突变阴性和ALK阴性的、不可手术切除的局部晚期或转移性非鳞NSCLC的一线治疗。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highlight w:val="yellow"/>
        </w:rPr>
        <w:t>用药前必须明确诊断为EGFR突变阴性和ALK阴性的非鳞NSCLC。</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2.应该按照相关疾病指南，治疗前做基线评估，治疗期间定期监测治疗反应及毒性。</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本品采用静脉输注的方式给药，静脉输注的推荐剂量为200mg，每次持续30～60分钟，每3周给药一次，直至疾病进展或出现不可接受的毒性。当卡瑞利珠单抗联合化疗给药时，应首先给予卡瑞利珠单抗静脉滴注，间隔至少30分钟后再给予化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4.有可能观察到非典型反应。如果患者临床症状稳定或持续减轻，即使有疾病进展的初步证据，基于总体临床获益的判断，可考虑继续应用本品治疗，直至证实疾病进展。</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5.如出现免疫相关性不良反应，根据个体患者的安全性和耐受性，可能需要暂停给药或永久停药。不建议增加或减少剂量。有关暂停给药和永久停药的指南，详见附表1所述。</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6.目前本品尚无针对中重度肝功能损伤患者的研究数据，中重度肝功能损伤患者不推荐使用。轻度肝功能损伤患者应在医师指导下慎用本品，如需使用，无需进行剂量调整。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7.目前本品尚无针对中重度肾功能损伤患者的研究数据，中重度肾功能损伤患者不推荐使用。轻度肾功能损伤患者应在医师指导下慎用本品，如需使用，无需进行剂量调整。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8.本品尚无在18岁以下儿童及青少年中的安全性和有效性数据。</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9.本品在≥65岁的老年患者中应用数据有限，建议在医师的指导下慎用，如需使用，无需进行剂量调整。</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10.不建议在妊娠期间使用本品治疗。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11.因可能干扰本品药效学活性，应避免在开始本品治疗前使用全身性糖皮质激素及其他免疫抑制剂。但是如果为了治疗免疫相关性不良反应，可在开始本品治疗后使用全身糖皮质激素及其他免疫抑制剂。</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2</w:t>
      </w:r>
      <w:r>
        <w:rPr>
          <w:rFonts w:hint="eastAsia" w:ascii="仿宋" w:hAnsi="仿宋" w:eastAsia="仿宋"/>
          <w:color w:val="000000"/>
          <w:sz w:val="32"/>
          <w:szCs w:val="32"/>
        </w:rPr>
        <w:t>.反应性毛细血管增生症的处理：在接受本品治疗的患者中，共731例（74.1%）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需观察临床症状和体征，可按照附表2分级标准和治疗建议进行处理。</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具体相关内容详见《反应性毛细血管增生症信息收集及风险管理计划》）。</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十八、阿替利珠单抗 Atezolizumab</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 xml:space="preserve">注射液：1200mg（20ml）/瓶 </w:t>
      </w:r>
    </w:p>
    <w:p>
      <w:pPr>
        <w:spacing w:line="36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阿替利珠单抗与卡铂和依托泊苷联合用于广泛期小细胞肺癌患者的一线治疗。</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1.阿替利珠单抗的用法是固定剂量1200mg，通过静脉注射给药，诱导期联合卡铂和依托泊苷方案每3周一次，治疗4个周期后进入无化疗的维持期；首次给药至少持续60分钟，后续可至少30分钟。</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患者可接受阿替利珠单抗治疗直至无临床获益或出现不可接受的毒性。如果患者临床症状稳定，即使有疾病进展的初步证据，但基于总体临床获益的判断，可考虑继续应用本品治疗。应对疾病进展后继续使用阿替利珠单抗 治疗的患者开展密切监测，4～8周内重复肿瘤疗效评估。</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3.对于疑似免疫相关性不良反应，应进行充分的评估     以确认病因或排除其他病因。根据免疫相关性不良反应的类型和严重程度，可能需要暂停给药或永久停药，不建议增加或减少剂量，详见</w:t>
      </w:r>
      <w:r>
        <w:rPr>
          <w:rFonts w:hint="eastAsia" w:ascii="仿宋" w:hAnsi="仿宋" w:eastAsia="仿宋"/>
          <w:sz w:val="32"/>
          <w:szCs w:val="32"/>
        </w:rPr>
        <w:t>附表1</w:t>
      </w:r>
      <w:r>
        <w:rPr>
          <w:rFonts w:hint="eastAsia" w:ascii="仿宋" w:hAnsi="仿宋" w:eastAsia="仿宋"/>
          <w:color w:val="000000"/>
          <w:sz w:val="32"/>
          <w:szCs w:val="32"/>
        </w:rPr>
        <w:t>。</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免疫抑制剂量的糖皮质激素或其他免疫抑制剂治疗期间，不建议重新使用阿替利珠单抗治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尚未确立阿替利珠单抗在18岁以下儿童和青少年患者中的安全性和有效性。老年患者（≥65岁）、轻度肝功能损伤患者、轻度和中度肾功能损伤患者，无需调整剂量。在中重度肝功能损伤患者、重度肾功能损伤患者中使用的安全性及有效性尚未建立，如经医师评估使用本品预期获益大于风险，需在医师指导下谨慎使用。</w:t>
      </w:r>
    </w:p>
    <w:p>
      <w:pPr>
        <w:spacing w:line="360" w:lineRule="auto"/>
        <w:ind w:firstLine="643" w:firstLineChars="200"/>
        <w:rPr>
          <w:rFonts w:ascii="仿宋" w:hAnsi="仿宋" w:eastAsia="仿宋"/>
          <w:color w:val="000000"/>
          <w:sz w:val="32"/>
          <w:szCs w:val="32"/>
        </w:rPr>
      </w:pPr>
      <w:r>
        <w:rPr>
          <w:rFonts w:hint="eastAsia" w:ascii="仿宋" w:hAnsi="仿宋" w:eastAsia="仿宋" w:cs="仿宋"/>
          <w:b/>
          <w:bCs/>
          <w:sz w:val="32"/>
          <w:szCs w:val="32"/>
          <w:vertAlign w:val="superscript"/>
        </w:rPr>
        <w:t>※</w:t>
      </w:r>
      <w:r>
        <w:rPr>
          <w:rFonts w:hint="eastAsia" w:ascii="仿宋" w:hAnsi="仿宋" w:eastAsia="仿宋"/>
          <w:color w:val="000000"/>
          <w:sz w:val="32"/>
          <w:szCs w:val="32"/>
        </w:rPr>
        <w:t>6.美国FDA批准阿替利珠单抗的适应证还包括：尿路上皮癌、NSCLC、三阴性乳腺癌。目前国内尚未获批这些适应证，可在与患者充分沟通的情况下、按照每个瘤肿批准的用法正确使用。</w:t>
      </w:r>
    </w:p>
    <w:p>
      <w:pPr>
        <w:ind w:firstLine="640" w:firstLineChars="200"/>
        <w:rPr>
          <w:rFonts w:ascii="黑体" w:hAnsi="黑体" w:eastAsia="黑体"/>
          <w:color w:val="000000"/>
          <w:sz w:val="32"/>
          <w:szCs w:val="32"/>
        </w:rPr>
      </w:pPr>
      <w:r>
        <w:rPr>
          <w:rFonts w:hint="eastAsia" w:ascii="黑体" w:hAnsi="黑体" w:eastAsia="黑体"/>
          <w:color w:val="000000"/>
          <w:sz w:val="32"/>
          <w:szCs w:val="32"/>
        </w:rPr>
        <w:t>十九、依维莫司E</w:t>
      </w:r>
      <w:r>
        <w:rPr>
          <w:rFonts w:ascii="黑体" w:hAnsi="黑体" w:eastAsia="黑体"/>
          <w:color w:val="000000"/>
          <w:sz w:val="32"/>
          <w:szCs w:val="32"/>
        </w:rPr>
        <w:t>verolimus</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制剂与规格：</w:t>
      </w:r>
      <w:r>
        <w:rPr>
          <w:rFonts w:hint="eastAsia" w:ascii="仿宋" w:hAnsi="仿宋" w:eastAsia="仿宋"/>
          <w:color w:val="000000"/>
          <w:sz w:val="32"/>
          <w:szCs w:val="32"/>
        </w:rPr>
        <w:t>片剂：2.5mg、5mg、10mg</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适应证：</w:t>
      </w:r>
      <w:r>
        <w:rPr>
          <w:rFonts w:hint="eastAsia" w:ascii="仿宋" w:hAnsi="仿宋" w:eastAsia="仿宋"/>
          <w:color w:val="000000"/>
          <w:sz w:val="32"/>
          <w:szCs w:val="32"/>
        </w:rPr>
        <w:t>无法手术切除的、局部晚期或转移性的、分化良好的、进展期非功能性胃肠道或肺源神经内分泌肿瘤成人患者。</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合理用药要点：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1.本品的推荐剂量为10mg每日一次口服给药，在每天同一时间服用。</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用一杯水整片送服本品片剂，不应咀嚼或压碎。对于无法吞咽片剂的患者，用药前将本品片剂放入一杯水中（约30ml）轻轻搅拌至完全溶解（大约需要7分钟）后立即服用。用相同容量的水清洗水杯并将清洗液全部服用，以确保服用了完整剂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3.只要存在临床获益就应持续治疗，或使用至出现不能耐受的毒性反应时。</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4.在肾功能损伤患者中没有进行本品临床研究。预期肾功能损伤不会影响药物暴露，在肾功能损伤患者中不推荐调整依维莫司剂量。</w:t>
      </w:r>
    </w:p>
    <w:p>
      <w:pPr>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.本品具有免疫抑制性，在开始本品治疗前应彻底治疗已经存在的侵入性真菌感染。</w:t>
      </w:r>
    </w:p>
    <w:p>
      <w:pPr>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对本品有效成份、其他雷帕霉素衍生物或本品中任何辅料过敏者禁用。在使用依维莫司和其他雷帕霉素衍生物患者中已观察到的过敏反应表现包括但不限于：过敏、呼吸困难、潮红、胸痛或血管性水肿（例如，伴或不伴呼吸功能不全的气道或舌肿胀）。</w:t>
      </w:r>
    </w:p>
    <w:p>
      <w:pPr>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.口腔炎包括口腔溃疡和口腔黏膜炎。在临床试验中，发生率为44%～86%，4%～9%的患者报告了3级或4级口腔炎。口腔炎大部分在治疗的前8周内发生。如果发生口腔炎，建议使用局部治疗。</w:t>
      </w:r>
    </w:p>
    <w:p>
      <w:pPr>
        <w:rPr>
          <w:rFonts w:hint="eastAsia"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.避免</w:t>
      </w:r>
      <w:r>
        <w:rPr>
          <w:rFonts w:ascii="仿宋" w:hAnsi="仿宋" w:eastAsia="仿宋"/>
          <w:color w:val="000000"/>
          <w:sz w:val="32"/>
          <w:szCs w:val="32"/>
        </w:rPr>
        <w:t>联</w:t>
      </w:r>
      <w:r>
        <w:rPr>
          <w:rFonts w:hint="eastAsia" w:ascii="仿宋" w:hAnsi="仿宋" w:eastAsia="仿宋"/>
          <w:color w:val="000000"/>
          <w:sz w:val="32"/>
          <w:szCs w:val="32"/>
        </w:rPr>
        <w:t>用CYP3A4强效抑制剂和诱导剂以及P-gp抑制剂。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220C1"/>
    <w:rsid w:val="19AB3C03"/>
    <w:rsid w:val="1B15401B"/>
    <w:rsid w:val="2FC26882"/>
    <w:rsid w:val="31DA7F90"/>
    <w:rsid w:val="3EF33166"/>
    <w:rsid w:val="445E031D"/>
    <w:rsid w:val="4D452380"/>
    <w:rsid w:val="53955D12"/>
    <w:rsid w:val="6DDF70D1"/>
    <w:rsid w:val="7A3D7B74"/>
    <w:rsid w:val="7AE2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2021-01-06T06:36:00Z</dcterms:created>
  <dc:creator>李先洋</dc:creator>
  <cp:lastModifiedBy>Alexandra1391421310</cp:lastModifiedBy>
  <dcterms:modified xsi:type="dcterms:W3CDTF">2021-01-08T02:08:52Z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